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F2" w:rsidRPr="006F08B1" w:rsidRDefault="001A43F2" w:rsidP="00D02B0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4"/>
          <w:szCs w:val="24"/>
          <w:u w:val="single"/>
          <w:lang w:val="fr-LU"/>
        </w:rPr>
      </w:pPr>
      <w:r w:rsidRPr="006F08B1">
        <w:rPr>
          <w:rFonts w:ascii="Arial" w:hAnsi="Arial" w:cs="Arial"/>
          <w:b/>
          <w:sz w:val="24"/>
          <w:szCs w:val="24"/>
          <w:u w:val="single"/>
          <w:lang w:val="fr-LU"/>
        </w:rPr>
        <w:t xml:space="preserve">Fiche d’information </w:t>
      </w:r>
    </w:p>
    <w:p w:rsidR="001A43F2" w:rsidRPr="008056C4" w:rsidRDefault="008056C4" w:rsidP="00D02B0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i/>
          <w:sz w:val="24"/>
          <w:szCs w:val="24"/>
          <w:lang w:val="fr-LU"/>
        </w:rPr>
      </w:pPr>
      <w:proofErr w:type="gramStart"/>
      <w:r>
        <w:rPr>
          <w:rFonts w:ascii="Arial" w:hAnsi="Arial" w:cs="Arial"/>
          <w:b/>
          <w:sz w:val="24"/>
          <w:szCs w:val="24"/>
          <w:lang w:val="fr-LU"/>
        </w:rPr>
        <w:t>pour</w:t>
      </w:r>
      <w:proofErr w:type="gramEnd"/>
      <w:r>
        <w:rPr>
          <w:rFonts w:ascii="Arial" w:hAnsi="Arial" w:cs="Arial"/>
          <w:b/>
          <w:sz w:val="24"/>
          <w:szCs w:val="24"/>
          <w:lang w:val="fr-LU"/>
        </w:rPr>
        <w:t xml:space="preserve"> les Conventions entourant l’application de l’article 29</w:t>
      </w:r>
      <w:r>
        <w:rPr>
          <w:rFonts w:ascii="Arial" w:hAnsi="Arial" w:cs="Arial"/>
          <w:b/>
          <w:i/>
          <w:sz w:val="24"/>
          <w:szCs w:val="24"/>
          <w:lang w:val="fr-LU"/>
        </w:rPr>
        <w:t>bis</w:t>
      </w:r>
    </w:p>
    <w:p w:rsidR="001A43F2" w:rsidRPr="006F08B1" w:rsidRDefault="001A43F2" w:rsidP="00D02B08">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Arial" w:hAnsi="Arial" w:cs="Arial"/>
          <w:b/>
          <w:sz w:val="24"/>
          <w:szCs w:val="24"/>
          <w:lang w:val="fr-LU"/>
        </w:rPr>
      </w:pPr>
      <w:proofErr w:type="gramStart"/>
      <w:r>
        <w:rPr>
          <w:rFonts w:ascii="Arial" w:hAnsi="Arial" w:cs="Arial"/>
          <w:b/>
          <w:sz w:val="24"/>
          <w:szCs w:val="24"/>
          <w:lang w:val="fr-LU"/>
        </w:rPr>
        <w:t>dans</w:t>
      </w:r>
      <w:proofErr w:type="gramEnd"/>
      <w:r>
        <w:rPr>
          <w:rFonts w:ascii="Arial" w:hAnsi="Arial" w:cs="Arial"/>
          <w:b/>
          <w:sz w:val="24"/>
          <w:szCs w:val="24"/>
          <w:lang w:val="fr-LU"/>
        </w:rPr>
        <w:t xml:space="preserve"> le cadre de l’exécution d’un PAP « nouveau quartier »</w:t>
      </w:r>
    </w:p>
    <w:p w:rsidR="00E35C5B" w:rsidRPr="00E35C5B" w:rsidRDefault="001A43F2" w:rsidP="00D02B08">
      <w:pPr>
        <w:spacing w:line="276" w:lineRule="auto"/>
        <w:jc w:val="both"/>
        <w:rPr>
          <w:rFonts w:ascii="Arial" w:hAnsi="Arial" w:cs="Arial"/>
          <w:b/>
          <w:u w:val="single"/>
          <w:lang w:val="fr-LU"/>
        </w:rPr>
      </w:pPr>
      <w:r w:rsidRPr="00E47DE9">
        <w:rPr>
          <w:rFonts w:ascii="Arial" w:hAnsi="Arial" w:cs="Arial"/>
          <w:sz w:val="24"/>
          <w:szCs w:val="24"/>
          <w:lang w:val="fr-LU"/>
        </w:rPr>
        <w:br/>
      </w:r>
      <w:r w:rsidR="00D02B08">
        <w:rPr>
          <w:rFonts w:ascii="Arial" w:hAnsi="Arial" w:cs="Arial"/>
          <w:b/>
          <w:u w:val="single"/>
          <w:lang w:val="fr-LU"/>
        </w:rPr>
        <w:br/>
        <w:t xml:space="preserve">I. </w:t>
      </w:r>
      <w:r w:rsidR="00E35C5B">
        <w:rPr>
          <w:rFonts w:ascii="Arial" w:hAnsi="Arial" w:cs="Arial"/>
          <w:b/>
          <w:u w:val="single"/>
          <w:lang w:val="fr-LU"/>
        </w:rPr>
        <w:t>Rappel des principes</w:t>
      </w:r>
      <w:r w:rsidR="00785F79">
        <w:rPr>
          <w:rFonts w:ascii="Arial" w:hAnsi="Arial" w:cs="Arial"/>
          <w:b/>
          <w:u w:val="single"/>
          <w:lang w:val="fr-LU"/>
        </w:rPr>
        <w:t xml:space="preserve"> de l’article 29</w:t>
      </w:r>
      <w:r w:rsidR="00785F79">
        <w:rPr>
          <w:rFonts w:ascii="Arial" w:hAnsi="Arial" w:cs="Arial"/>
          <w:b/>
          <w:i/>
          <w:u w:val="single"/>
          <w:lang w:val="fr-LU"/>
        </w:rPr>
        <w:t>bis</w:t>
      </w:r>
      <w:r w:rsidR="00D02B08">
        <w:rPr>
          <w:rFonts w:ascii="Arial" w:hAnsi="Arial" w:cs="Arial"/>
          <w:b/>
          <w:u w:val="single"/>
          <w:lang w:val="fr-LU"/>
        </w:rPr>
        <w:t> :</w:t>
      </w:r>
    </w:p>
    <w:p w:rsidR="001A43F2" w:rsidRPr="006F08B1" w:rsidRDefault="001A43F2" w:rsidP="00D02B08">
      <w:pPr>
        <w:spacing w:line="276" w:lineRule="auto"/>
        <w:jc w:val="both"/>
        <w:rPr>
          <w:rFonts w:ascii="Arial" w:hAnsi="Arial" w:cs="Arial"/>
          <w:lang w:val="fr-LU"/>
        </w:rPr>
      </w:pPr>
      <w:r w:rsidRPr="006F08B1">
        <w:rPr>
          <w:rFonts w:ascii="Arial" w:hAnsi="Arial" w:cs="Arial"/>
          <w:lang w:val="fr-LU"/>
        </w:rPr>
        <w:t>Suite à l’adoption de la loi du 30 juillet 2021 relative au Pacte logement avec les communes en vue d’augmenter l’offre de logements abordables et durables, un nouvel article 29</w:t>
      </w:r>
      <w:r w:rsidRPr="006F08B1">
        <w:rPr>
          <w:rFonts w:ascii="Arial" w:hAnsi="Arial" w:cs="Arial"/>
          <w:i/>
          <w:lang w:val="fr-LU"/>
        </w:rPr>
        <w:t xml:space="preserve">bis </w:t>
      </w:r>
      <w:r w:rsidRPr="006F08B1">
        <w:rPr>
          <w:rFonts w:ascii="Arial" w:hAnsi="Arial" w:cs="Arial"/>
          <w:lang w:val="fr-LU"/>
        </w:rPr>
        <w:t>a été introduit dans la loi modifiée du 19 juillet 2004 concernant l’aménagement communal et le développement urbain (« la loi ACDU »).</w:t>
      </w:r>
    </w:p>
    <w:p w:rsidR="001A43F2" w:rsidRPr="006F08B1" w:rsidRDefault="001A43F2" w:rsidP="00D02B08">
      <w:pPr>
        <w:spacing w:line="276" w:lineRule="auto"/>
        <w:jc w:val="both"/>
        <w:rPr>
          <w:rFonts w:ascii="Arial" w:hAnsi="Arial" w:cs="Arial"/>
          <w:lang w:val="fr-LU"/>
        </w:rPr>
      </w:pPr>
      <w:r w:rsidRPr="006F08B1">
        <w:rPr>
          <w:rFonts w:ascii="Arial" w:hAnsi="Arial" w:cs="Arial"/>
          <w:lang w:val="fr-LU"/>
        </w:rPr>
        <w:t xml:space="preserve">Cet article poursuit l’objectif de favoriser </w:t>
      </w:r>
      <w:r w:rsidR="005B2977">
        <w:rPr>
          <w:rFonts w:ascii="Arial" w:hAnsi="Arial" w:cs="Arial"/>
          <w:lang w:val="fr-LU"/>
        </w:rPr>
        <w:t>dans le cadre de</w:t>
      </w:r>
      <w:r w:rsidR="00B70C94" w:rsidRPr="006F08B1">
        <w:rPr>
          <w:rFonts w:ascii="Arial" w:hAnsi="Arial" w:cs="Arial"/>
          <w:lang w:val="fr-LU"/>
        </w:rPr>
        <w:t xml:space="preserve"> l’exécution des plans d’aménagement particulier</w:t>
      </w:r>
      <w:r w:rsidR="00B70C94">
        <w:rPr>
          <w:rFonts w:ascii="Arial" w:hAnsi="Arial" w:cs="Arial"/>
          <w:lang w:val="fr-LU"/>
        </w:rPr>
        <w:t xml:space="preserve"> « nouveau quartier » (« PAP NQ ») </w:t>
      </w:r>
      <w:r w:rsidRPr="006F08B1">
        <w:rPr>
          <w:rFonts w:ascii="Arial" w:hAnsi="Arial" w:cs="Arial"/>
          <w:lang w:val="fr-LU"/>
        </w:rPr>
        <w:t xml:space="preserve">la constitution d’un parc de logements abordables </w:t>
      </w:r>
      <w:r w:rsidR="00B70C94">
        <w:rPr>
          <w:rFonts w:ascii="Arial" w:hAnsi="Arial" w:cs="Arial"/>
          <w:lang w:val="fr-LU"/>
        </w:rPr>
        <w:t xml:space="preserve">au bénéfice des promoteurs publics (à savoir : communes, Fonds du Logement, </w:t>
      </w:r>
      <w:r w:rsidR="005B2977">
        <w:rPr>
          <w:rFonts w:ascii="Arial" w:hAnsi="Arial" w:cs="Arial"/>
          <w:lang w:val="fr-LU"/>
        </w:rPr>
        <w:t>Société N</w:t>
      </w:r>
      <w:r w:rsidR="00B70C94" w:rsidRPr="006F08B1">
        <w:rPr>
          <w:rFonts w:ascii="Arial" w:hAnsi="Arial" w:cs="Arial"/>
          <w:lang w:val="fr-LU"/>
        </w:rPr>
        <w:t>ationa</w:t>
      </w:r>
      <w:r w:rsidR="005B2977">
        <w:rPr>
          <w:rFonts w:ascii="Arial" w:hAnsi="Arial" w:cs="Arial"/>
          <w:lang w:val="fr-LU"/>
        </w:rPr>
        <w:t>le des Habitations à Bon M</w:t>
      </w:r>
      <w:r w:rsidR="00B70C94">
        <w:rPr>
          <w:rFonts w:ascii="Arial" w:hAnsi="Arial" w:cs="Arial"/>
          <w:lang w:val="fr-LU"/>
        </w:rPr>
        <w:t>arché).</w:t>
      </w:r>
    </w:p>
    <w:p w:rsidR="001A43F2" w:rsidRPr="006F08B1" w:rsidRDefault="001A43F2" w:rsidP="00D02B08">
      <w:pPr>
        <w:spacing w:line="276" w:lineRule="auto"/>
        <w:jc w:val="both"/>
        <w:rPr>
          <w:rFonts w:ascii="Arial" w:hAnsi="Arial" w:cs="Arial"/>
          <w:lang w:val="fr-LU"/>
        </w:rPr>
      </w:pPr>
      <w:r w:rsidRPr="006F08B1">
        <w:rPr>
          <w:rFonts w:ascii="Arial" w:hAnsi="Arial" w:cs="Arial"/>
          <w:lang w:val="fr-LU"/>
        </w:rPr>
        <w:t>A cet effet, l’article 29</w:t>
      </w:r>
      <w:r w:rsidRPr="006F08B1">
        <w:rPr>
          <w:rFonts w:ascii="Arial" w:hAnsi="Arial" w:cs="Arial"/>
          <w:i/>
          <w:lang w:val="fr-LU"/>
        </w:rPr>
        <w:t>bis</w:t>
      </w:r>
      <w:r w:rsidR="00B70C94">
        <w:rPr>
          <w:rFonts w:ascii="Arial" w:hAnsi="Arial" w:cs="Arial"/>
          <w:i/>
          <w:lang w:val="fr-LU"/>
        </w:rPr>
        <w:t xml:space="preserve"> </w:t>
      </w:r>
      <w:r w:rsidR="00B70C94">
        <w:rPr>
          <w:rFonts w:ascii="Arial" w:hAnsi="Arial" w:cs="Arial"/>
          <w:lang w:val="fr-LU"/>
        </w:rPr>
        <w:t>précité</w:t>
      </w:r>
      <w:r w:rsidRPr="006F08B1">
        <w:rPr>
          <w:rFonts w:ascii="Arial" w:hAnsi="Arial" w:cs="Arial"/>
          <w:i/>
          <w:lang w:val="fr-LU"/>
        </w:rPr>
        <w:t xml:space="preserve"> </w:t>
      </w:r>
      <w:r w:rsidRPr="006F08B1">
        <w:rPr>
          <w:rFonts w:ascii="Arial" w:hAnsi="Arial" w:cs="Arial"/>
          <w:lang w:val="fr-LU"/>
        </w:rPr>
        <w:t xml:space="preserve">prévoit de réserver 10% à 20% de la surface construite brute </w:t>
      </w:r>
      <w:r w:rsidR="005B2977">
        <w:rPr>
          <w:rFonts w:ascii="Arial" w:hAnsi="Arial" w:cs="Arial"/>
          <w:lang w:val="fr-LU"/>
        </w:rPr>
        <w:t xml:space="preserve">dédiée par le PAP NQ </w:t>
      </w:r>
      <w:r w:rsidRPr="006F08B1">
        <w:rPr>
          <w:rFonts w:ascii="Arial" w:hAnsi="Arial" w:cs="Arial"/>
          <w:lang w:val="fr-LU"/>
        </w:rPr>
        <w:t>à la réali</w:t>
      </w:r>
      <w:r>
        <w:rPr>
          <w:rFonts w:ascii="Arial" w:hAnsi="Arial" w:cs="Arial"/>
          <w:lang w:val="fr-LU"/>
        </w:rPr>
        <w:t>sation de logements abordables.</w:t>
      </w:r>
    </w:p>
    <w:p w:rsidR="001A43F2" w:rsidRPr="006F08B1" w:rsidRDefault="00B70C94" w:rsidP="00D02B08">
      <w:pPr>
        <w:spacing w:line="276" w:lineRule="auto"/>
        <w:jc w:val="both"/>
        <w:rPr>
          <w:rFonts w:ascii="Arial" w:hAnsi="Arial" w:cs="Arial"/>
          <w:lang w:val="fr-LU"/>
        </w:rPr>
      </w:pPr>
      <w:r>
        <w:rPr>
          <w:rFonts w:ascii="Arial" w:hAnsi="Arial" w:cs="Arial"/>
          <w:lang w:val="fr-LU"/>
        </w:rPr>
        <w:t>Dans l’optique de constitution de ce parc,</w:t>
      </w:r>
      <w:r w:rsidR="001A43F2" w:rsidRPr="006F08B1">
        <w:rPr>
          <w:rFonts w:ascii="Arial" w:hAnsi="Arial" w:cs="Arial"/>
          <w:lang w:val="fr-LU"/>
        </w:rPr>
        <w:t xml:space="preserve"> les </w:t>
      </w:r>
      <w:r>
        <w:rPr>
          <w:rFonts w:ascii="Arial" w:hAnsi="Arial" w:cs="Arial"/>
          <w:lang w:val="fr-LU"/>
        </w:rPr>
        <w:t>exécutants des PAP NQ</w:t>
      </w:r>
      <w:r w:rsidR="001A43F2" w:rsidRPr="006F08B1">
        <w:rPr>
          <w:rFonts w:ascii="Arial" w:hAnsi="Arial" w:cs="Arial"/>
          <w:lang w:val="fr-LU"/>
        </w:rPr>
        <w:t xml:space="preserve"> sont amenés à céder </w:t>
      </w:r>
      <w:r>
        <w:rPr>
          <w:rFonts w:ascii="Arial" w:hAnsi="Arial" w:cs="Arial"/>
          <w:lang w:val="fr-LU"/>
        </w:rPr>
        <w:t>aux promoteurs publics :</w:t>
      </w:r>
    </w:p>
    <w:p w:rsidR="001A43F2" w:rsidRPr="006F08B1" w:rsidRDefault="001A43F2" w:rsidP="00D02B08">
      <w:pPr>
        <w:pStyle w:val="ListParagraph"/>
        <w:numPr>
          <w:ilvl w:val="0"/>
          <w:numId w:val="1"/>
        </w:numPr>
        <w:spacing w:line="276" w:lineRule="auto"/>
        <w:jc w:val="both"/>
        <w:rPr>
          <w:rFonts w:ascii="Arial" w:hAnsi="Arial" w:cs="Arial"/>
          <w:lang w:val="fr-LU"/>
        </w:rPr>
      </w:pPr>
      <w:proofErr w:type="gramStart"/>
      <w:r w:rsidRPr="006F08B1">
        <w:rPr>
          <w:rFonts w:ascii="Arial" w:hAnsi="Arial" w:cs="Arial"/>
          <w:lang w:val="fr-LU"/>
        </w:rPr>
        <w:t>soit</w:t>
      </w:r>
      <w:proofErr w:type="gramEnd"/>
      <w:r w:rsidRPr="006F08B1">
        <w:rPr>
          <w:rFonts w:ascii="Arial" w:hAnsi="Arial" w:cs="Arial"/>
          <w:lang w:val="fr-LU"/>
        </w:rPr>
        <w:t xml:space="preserve"> </w:t>
      </w:r>
      <w:r w:rsidRPr="006F08B1">
        <w:rPr>
          <w:rFonts w:ascii="Arial" w:hAnsi="Arial" w:cs="Arial"/>
          <w:u w:val="single"/>
          <w:lang w:val="fr-LU"/>
        </w:rPr>
        <w:t>uniquement</w:t>
      </w:r>
      <w:r w:rsidRPr="006F08B1">
        <w:rPr>
          <w:rFonts w:ascii="Arial" w:hAnsi="Arial" w:cs="Arial"/>
          <w:lang w:val="fr-LU"/>
        </w:rPr>
        <w:t xml:space="preserve"> les fonds réservés aux logements abordables,</w:t>
      </w:r>
      <w:r w:rsidR="005B2977">
        <w:rPr>
          <w:rFonts w:ascii="Arial" w:hAnsi="Arial" w:cs="Arial"/>
          <w:lang w:val="fr-LU"/>
        </w:rPr>
        <w:t xml:space="preserve"> auquel cas il appartient au promoteur public de faire lui-même réaliser ultérieurement ces logements par un constructeur tiers, </w:t>
      </w:r>
    </w:p>
    <w:p w:rsidR="001A43F2" w:rsidRDefault="001A43F2" w:rsidP="00D02B08">
      <w:pPr>
        <w:pStyle w:val="ListParagraph"/>
        <w:numPr>
          <w:ilvl w:val="0"/>
          <w:numId w:val="1"/>
        </w:numPr>
        <w:spacing w:line="276" w:lineRule="auto"/>
        <w:jc w:val="both"/>
        <w:rPr>
          <w:rFonts w:ascii="Arial" w:hAnsi="Arial" w:cs="Arial"/>
          <w:lang w:val="fr-LU"/>
        </w:rPr>
      </w:pPr>
      <w:proofErr w:type="gramStart"/>
      <w:r w:rsidRPr="006F08B1">
        <w:rPr>
          <w:rFonts w:ascii="Arial" w:hAnsi="Arial" w:cs="Arial"/>
          <w:lang w:val="fr-LU"/>
        </w:rPr>
        <w:t>soit</w:t>
      </w:r>
      <w:proofErr w:type="gramEnd"/>
      <w:r w:rsidRPr="006F08B1">
        <w:rPr>
          <w:rFonts w:ascii="Arial" w:hAnsi="Arial" w:cs="Arial"/>
          <w:lang w:val="fr-LU"/>
        </w:rPr>
        <w:t xml:space="preserve"> </w:t>
      </w:r>
      <w:r w:rsidRPr="006F08B1">
        <w:rPr>
          <w:rFonts w:ascii="Arial" w:hAnsi="Arial" w:cs="Arial"/>
          <w:u w:val="single"/>
          <w:lang w:val="fr-LU"/>
        </w:rPr>
        <w:t>à la fois</w:t>
      </w:r>
      <w:r w:rsidRPr="006F08B1">
        <w:rPr>
          <w:rFonts w:ascii="Arial" w:hAnsi="Arial" w:cs="Arial"/>
          <w:lang w:val="fr-LU"/>
        </w:rPr>
        <w:t xml:space="preserve"> les fonds réservés aux logements abordables </w:t>
      </w:r>
      <w:r w:rsidRPr="006F08B1">
        <w:rPr>
          <w:rFonts w:ascii="Arial" w:hAnsi="Arial" w:cs="Arial"/>
          <w:u w:val="single"/>
          <w:lang w:val="fr-LU"/>
        </w:rPr>
        <w:t>et</w:t>
      </w:r>
      <w:r w:rsidRPr="006F08B1">
        <w:rPr>
          <w:rFonts w:ascii="Arial" w:hAnsi="Arial" w:cs="Arial"/>
          <w:lang w:val="fr-LU"/>
        </w:rPr>
        <w:t xml:space="preserve"> les </w:t>
      </w:r>
      <w:r w:rsidR="005B2977">
        <w:rPr>
          <w:rFonts w:ascii="Arial" w:hAnsi="Arial" w:cs="Arial"/>
          <w:lang w:val="fr-LU"/>
        </w:rPr>
        <w:t xml:space="preserve">logements abordables eux-mêmes, auquel cas les logements sont construits par l’exécutant du PAP NQ lui-même- </w:t>
      </w:r>
    </w:p>
    <w:p w:rsidR="001A43F2" w:rsidRDefault="001A43F2" w:rsidP="00D02B08">
      <w:pPr>
        <w:spacing w:line="276" w:lineRule="auto"/>
        <w:jc w:val="both"/>
        <w:rPr>
          <w:rFonts w:ascii="Arial" w:hAnsi="Arial" w:cs="Arial"/>
          <w:lang w:val="fr-LU"/>
        </w:rPr>
      </w:pPr>
      <w:r w:rsidRPr="006F08B1">
        <w:rPr>
          <w:rFonts w:ascii="Arial" w:hAnsi="Arial" w:cs="Arial"/>
          <w:lang w:val="fr-LU"/>
        </w:rPr>
        <w:t>La cession des logements abordables est effectuée au prix de réalisation</w:t>
      </w:r>
      <w:r>
        <w:rPr>
          <w:rFonts w:ascii="Arial" w:hAnsi="Arial" w:cs="Arial"/>
          <w:lang w:val="fr-LU"/>
        </w:rPr>
        <w:t xml:space="preserve"> estimé lors de l’élaboration du projet architectural</w:t>
      </w:r>
      <w:r w:rsidRPr="006F08B1">
        <w:rPr>
          <w:rFonts w:ascii="Arial" w:hAnsi="Arial" w:cs="Arial"/>
          <w:lang w:val="fr-LU"/>
        </w:rPr>
        <w:t>, tandis que la cession des fonds est opérée sans contrepartie pécuni</w:t>
      </w:r>
      <w:r>
        <w:rPr>
          <w:rFonts w:ascii="Arial" w:hAnsi="Arial" w:cs="Arial"/>
          <w:lang w:val="fr-LU"/>
        </w:rPr>
        <w:t xml:space="preserve">aire, mais en échange d’une </w:t>
      </w:r>
      <w:r w:rsidRPr="006F08B1">
        <w:rPr>
          <w:rFonts w:ascii="Arial" w:hAnsi="Arial" w:cs="Arial"/>
          <w:lang w:val="fr-LU"/>
        </w:rPr>
        <w:t xml:space="preserve">augmentation du potentiel constructible à concurrence de 10% pour les surfaces réservées exclusivement au logement dans le PAP en question. </w:t>
      </w:r>
    </w:p>
    <w:p w:rsidR="00127453" w:rsidRDefault="00127453" w:rsidP="00D02B08">
      <w:pPr>
        <w:spacing w:line="276" w:lineRule="auto"/>
        <w:jc w:val="both"/>
        <w:rPr>
          <w:rFonts w:ascii="Arial" w:hAnsi="Arial" w:cs="Arial"/>
          <w:lang w:val="fr-LU"/>
        </w:rPr>
      </w:pPr>
      <w:r>
        <w:rPr>
          <w:rFonts w:ascii="Arial" w:hAnsi="Arial" w:cs="Arial"/>
          <w:lang w:val="fr-LU"/>
        </w:rPr>
        <w:t>Il est rappelé à cet égard qu’il existe un cas de figure particulier, dans lequel les taux de réservation pour les logements abordables ainsi que la contrepartie divergent</w:t>
      </w:r>
      <w:r w:rsidR="005B2977">
        <w:rPr>
          <w:rFonts w:ascii="Arial" w:hAnsi="Arial" w:cs="Arial"/>
          <w:lang w:val="fr-LU"/>
        </w:rPr>
        <w:t xml:space="preserve"> des chiffres précités</w:t>
      </w:r>
      <w:r>
        <w:rPr>
          <w:rFonts w:ascii="Arial" w:hAnsi="Arial" w:cs="Arial"/>
          <w:lang w:val="fr-LU"/>
        </w:rPr>
        <w:t>. Ainsi, l</w:t>
      </w:r>
      <w:r w:rsidRPr="006F08B1">
        <w:rPr>
          <w:rFonts w:ascii="Arial" w:hAnsi="Arial" w:cs="Arial"/>
          <w:lang w:val="fr-LU"/>
        </w:rPr>
        <w:t xml:space="preserve">orsqu’un PAP </w:t>
      </w:r>
      <w:r w:rsidR="00815B92">
        <w:rPr>
          <w:rFonts w:ascii="Arial" w:hAnsi="Arial" w:cs="Arial"/>
          <w:lang w:val="fr-LU"/>
        </w:rPr>
        <w:t xml:space="preserve">NQ </w:t>
      </w:r>
      <w:r>
        <w:rPr>
          <w:rFonts w:ascii="Arial" w:hAnsi="Arial" w:cs="Arial"/>
          <w:lang w:val="fr-LU"/>
        </w:rPr>
        <w:t xml:space="preserve">comportant plus de 25 logements </w:t>
      </w:r>
      <w:r w:rsidRPr="006F08B1">
        <w:rPr>
          <w:rFonts w:ascii="Arial" w:hAnsi="Arial" w:cs="Arial"/>
          <w:lang w:val="fr-LU"/>
        </w:rPr>
        <w:t>est situé dans l’emprise du Plan directeur sectoriel « Logement », les surfaces à réserver à la réalisation de logements abordables sont augmentées à 30% de la surface construite brute (au lieu des 10% à 20% précités), en application de l’article 11, paragraphe 2, point 9°, de la loi modifiée du 17 avril 2018 concernant l’aménagement du territoire</w:t>
      </w:r>
      <w:r>
        <w:rPr>
          <w:rFonts w:ascii="Arial" w:hAnsi="Arial" w:cs="Arial"/>
          <w:lang w:val="fr-LU"/>
        </w:rPr>
        <w:t xml:space="preserve">. </w:t>
      </w:r>
      <w:r w:rsidRPr="006F08B1">
        <w:rPr>
          <w:rFonts w:ascii="Arial" w:hAnsi="Arial" w:cs="Arial"/>
          <w:lang w:val="fr-LU"/>
        </w:rPr>
        <w:t xml:space="preserve">La loi prévoit dans ce </w:t>
      </w:r>
      <w:r>
        <w:rPr>
          <w:rFonts w:ascii="Arial" w:hAnsi="Arial" w:cs="Arial"/>
          <w:lang w:val="fr-LU"/>
        </w:rPr>
        <w:t>contexte</w:t>
      </w:r>
      <w:r w:rsidRPr="006F08B1">
        <w:rPr>
          <w:rFonts w:ascii="Arial" w:hAnsi="Arial" w:cs="Arial"/>
          <w:lang w:val="fr-LU"/>
        </w:rPr>
        <w:t xml:space="preserve"> la possibilité de fixer une contrepartie complémentaire visant à compenser les obligations accrues imposées à </w:t>
      </w:r>
      <w:r>
        <w:rPr>
          <w:rFonts w:ascii="Arial" w:hAnsi="Arial" w:cs="Arial"/>
          <w:lang w:val="fr-LU"/>
        </w:rPr>
        <w:t>l’exécutant</w:t>
      </w:r>
      <w:r w:rsidRPr="006F08B1">
        <w:rPr>
          <w:rFonts w:ascii="Arial" w:hAnsi="Arial" w:cs="Arial"/>
          <w:lang w:val="fr-LU"/>
        </w:rPr>
        <w:t xml:space="preserve"> d’un tel PAP</w:t>
      </w:r>
      <w:r w:rsidR="005B2977">
        <w:rPr>
          <w:rFonts w:ascii="Arial" w:hAnsi="Arial" w:cs="Arial"/>
          <w:lang w:val="fr-LU"/>
        </w:rPr>
        <w:t xml:space="preserve"> NQ</w:t>
      </w:r>
      <w:r w:rsidRPr="006F08B1">
        <w:rPr>
          <w:rFonts w:ascii="Arial" w:hAnsi="Arial" w:cs="Arial"/>
          <w:lang w:val="fr-LU"/>
        </w:rPr>
        <w:t xml:space="preserve">. </w:t>
      </w:r>
    </w:p>
    <w:p w:rsidR="00127453" w:rsidRPr="006F08B1" w:rsidRDefault="00127453" w:rsidP="00D02B08">
      <w:pPr>
        <w:spacing w:line="276" w:lineRule="auto"/>
        <w:jc w:val="both"/>
        <w:rPr>
          <w:rFonts w:ascii="Arial" w:hAnsi="Arial" w:cs="Arial"/>
          <w:lang w:val="fr-LU"/>
        </w:rPr>
      </w:pPr>
      <w:r>
        <w:rPr>
          <w:rFonts w:ascii="Arial" w:hAnsi="Arial" w:cs="Arial"/>
          <w:lang w:val="fr-LU"/>
        </w:rPr>
        <w:t xml:space="preserve">Dans toutes les hypothèses, les cessions </w:t>
      </w:r>
      <w:r w:rsidR="005B2977">
        <w:rPr>
          <w:rFonts w:ascii="Arial" w:hAnsi="Arial" w:cs="Arial"/>
          <w:lang w:val="fr-LU"/>
        </w:rPr>
        <w:t xml:space="preserve">tant des logements que des fonds </w:t>
      </w:r>
      <w:r>
        <w:rPr>
          <w:rFonts w:ascii="Arial" w:hAnsi="Arial" w:cs="Arial"/>
          <w:lang w:val="fr-LU"/>
        </w:rPr>
        <w:t xml:space="preserve">en question sont </w:t>
      </w:r>
      <w:r w:rsidR="005B2977">
        <w:rPr>
          <w:rFonts w:ascii="Arial" w:hAnsi="Arial" w:cs="Arial"/>
          <w:lang w:val="fr-LU"/>
        </w:rPr>
        <w:t>constituées</w:t>
      </w:r>
      <w:r>
        <w:rPr>
          <w:rFonts w:ascii="Arial" w:hAnsi="Arial" w:cs="Arial"/>
          <w:lang w:val="fr-LU"/>
        </w:rPr>
        <w:t xml:space="preserve"> par voie de conventions à signer entre les différents acteurs. </w:t>
      </w:r>
    </w:p>
    <w:p w:rsidR="00127453" w:rsidRPr="006F08B1" w:rsidRDefault="00127453" w:rsidP="00D02B08">
      <w:pPr>
        <w:spacing w:line="276" w:lineRule="auto"/>
        <w:jc w:val="both"/>
        <w:rPr>
          <w:rFonts w:ascii="Arial" w:hAnsi="Arial" w:cs="Arial"/>
          <w:lang w:val="fr-LU"/>
        </w:rPr>
      </w:pPr>
      <w:r>
        <w:rPr>
          <w:rFonts w:ascii="Arial" w:hAnsi="Arial" w:cs="Arial"/>
          <w:lang w:val="fr-LU"/>
        </w:rPr>
        <w:lastRenderedPageBreak/>
        <w:t>A cet égard</w:t>
      </w:r>
      <w:r w:rsidRPr="006F08B1">
        <w:rPr>
          <w:rFonts w:ascii="Arial" w:hAnsi="Arial" w:cs="Arial"/>
          <w:lang w:val="fr-LU"/>
        </w:rPr>
        <w:t>, il</w:t>
      </w:r>
      <w:r>
        <w:rPr>
          <w:rFonts w:ascii="Arial" w:hAnsi="Arial" w:cs="Arial"/>
          <w:lang w:val="fr-LU"/>
        </w:rPr>
        <w:t xml:space="preserve"> y a lieu de souligner qu’il</w:t>
      </w:r>
      <w:r w:rsidRPr="006F08B1">
        <w:rPr>
          <w:rFonts w:ascii="Arial" w:hAnsi="Arial" w:cs="Arial"/>
          <w:lang w:val="fr-LU"/>
        </w:rPr>
        <w:t xml:space="preserve"> est primordial à ce qu’une concertation</w:t>
      </w:r>
      <w:r w:rsidR="005B2977">
        <w:rPr>
          <w:rFonts w:ascii="Arial" w:hAnsi="Arial" w:cs="Arial"/>
          <w:lang w:val="fr-LU"/>
        </w:rPr>
        <w:t xml:space="preserve"> étroite</w:t>
      </w:r>
      <w:r w:rsidRPr="006F08B1">
        <w:rPr>
          <w:rFonts w:ascii="Arial" w:hAnsi="Arial" w:cs="Arial"/>
          <w:lang w:val="fr-LU"/>
        </w:rPr>
        <w:t xml:space="preserve"> </w:t>
      </w:r>
      <w:r w:rsidR="005B2977" w:rsidRPr="006F08B1">
        <w:rPr>
          <w:rFonts w:ascii="Arial" w:hAnsi="Arial" w:cs="Arial"/>
          <w:lang w:val="fr-LU"/>
        </w:rPr>
        <w:t xml:space="preserve">ait lieu dès les stades précoces du projet </w:t>
      </w:r>
      <w:r w:rsidRPr="006F08B1">
        <w:rPr>
          <w:rFonts w:ascii="Arial" w:hAnsi="Arial" w:cs="Arial"/>
          <w:lang w:val="fr-LU"/>
        </w:rPr>
        <w:t xml:space="preserve">entre les différents acteurs, à savoir entre </w:t>
      </w:r>
      <w:r>
        <w:rPr>
          <w:rFonts w:ascii="Arial" w:hAnsi="Arial" w:cs="Arial"/>
          <w:lang w:val="fr-LU"/>
        </w:rPr>
        <w:t>l’exécutant</w:t>
      </w:r>
      <w:r w:rsidRPr="006F08B1">
        <w:rPr>
          <w:rFonts w:ascii="Arial" w:hAnsi="Arial" w:cs="Arial"/>
          <w:lang w:val="fr-LU"/>
        </w:rPr>
        <w:t xml:space="preserve"> du PAP et entre le</w:t>
      </w:r>
      <w:r w:rsidR="005B2977">
        <w:rPr>
          <w:rFonts w:ascii="Arial" w:hAnsi="Arial" w:cs="Arial"/>
          <w:lang w:val="fr-LU"/>
        </w:rPr>
        <w:t xml:space="preserve"> promoteur public</w:t>
      </w:r>
      <w:r w:rsidR="00B70C94">
        <w:rPr>
          <w:rFonts w:ascii="Arial" w:hAnsi="Arial" w:cs="Arial"/>
          <w:lang w:val="fr-LU"/>
        </w:rPr>
        <w:t>.</w:t>
      </w:r>
    </w:p>
    <w:p w:rsidR="00127453" w:rsidRPr="00127453" w:rsidRDefault="005B2977" w:rsidP="00D02B08">
      <w:pPr>
        <w:spacing w:line="276" w:lineRule="auto"/>
        <w:jc w:val="both"/>
        <w:rPr>
          <w:rFonts w:ascii="Arial" w:hAnsi="Arial" w:cs="Arial"/>
          <w:lang w:val="fr-LU"/>
        </w:rPr>
      </w:pPr>
      <w:r>
        <w:rPr>
          <w:rFonts w:ascii="Arial" w:hAnsi="Arial" w:cs="Arial"/>
          <w:lang w:val="fr-LU"/>
        </w:rPr>
        <w:t>Ainsi</w:t>
      </w:r>
      <w:r w:rsidR="00127453" w:rsidRPr="006F08B1">
        <w:rPr>
          <w:rFonts w:ascii="Arial" w:hAnsi="Arial" w:cs="Arial"/>
          <w:lang w:val="fr-LU"/>
        </w:rPr>
        <w:t xml:space="preserve">, il est fortement recommandé à ce que ces acteurs déterminent de manière anticipée </w:t>
      </w:r>
      <w:r w:rsidR="00127453" w:rsidRPr="00127453">
        <w:rPr>
          <w:rFonts w:ascii="Arial" w:hAnsi="Arial" w:cs="Arial"/>
          <w:lang w:val="fr-LU"/>
        </w:rPr>
        <w:t>le promoteur public destinataire de la cession des fonds, respectivement des logements abordables, afin que l’exécutant du PAP puisse</w:t>
      </w:r>
      <w:r>
        <w:rPr>
          <w:rFonts w:ascii="Arial" w:hAnsi="Arial" w:cs="Arial"/>
          <w:lang w:val="fr-LU"/>
        </w:rPr>
        <w:t>, le cas échéant,</w:t>
      </w:r>
      <w:r w:rsidR="00127453" w:rsidRPr="00127453">
        <w:rPr>
          <w:rFonts w:ascii="Arial" w:hAnsi="Arial" w:cs="Arial"/>
          <w:lang w:val="fr-LU"/>
        </w:rPr>
        <w:t xml:space="preserve"> identifier son interlocuteur pour la conception des logements abordables. </w:t>
      </w:r>
    </w:p>
    <w:p w:rsidR="00127453" w:rsidRPr="00127453" w:rsidRDefault="00127453" w:rsidP="00D02B08">
      <w:pPr>
        <w:spacing w:before="240" w:line="276" w:lineRule="auto"/>
        <w:jc w:val="both"/>
        <w:rPr>
          <w:rFonts w:ascii="Arial" w:hAnsi="Arial" w:cs="Arial"/>
          <w:lang w:val="fr-LU"/>
        </w:rPr>
      </w:pPr>
      <w:r w:rsidRPr="00127453">
        <w:rPr>
          <w:rFonts w:ascii="Arial" w:hAnsi="Arial" w:cs="Arial"/>
          <w:lang w:val="fr-LU"/>
        </w:rPr>
        <w:t>Un modèle pour un tel accord-cadre figure sous le lien suivant :</w:t>
      </w:r>
    </w:p>
    <w:p w:rsidR="00127453" w:rsidRPr="00815B92" w:rsidRDefault="00127453" w:rsidP="00DE20E9">
      <w:pPr>
        <w:pStyle w:val="ListParagraph"/>
        <w:numPr>
          <w:ilvl w:val="0"/>
          <w:numId w:val="4"/>
        </w:numPr>
        <w:spacing w:line="276" w:lineRule="auto"/>
        <w:ind w:left="1080"/>
        <w:jc w:val="both"/>
        <w:rPr>
          <w:rFonts w:ascii="Arial" w:hAnsi="Arial" w:cs="Arial"/>
          <w:b/>
          <w:i/>
          <w:lang w:val="fr-LU"/>
        </w:rPr>
      </w:pPr>
      <w:r w:rsidRPr="00815B92">
        <w:rPr>
          <w:rFonts w:ascii="Arial" w:hAnsi="Arial" w:cs="Arial"/>
          <w:b/>
          <w:i/>
          <w:lang w:val="fr-LU"/>
        </w:rPr>
        <w:t xml:space="preserve">Accord-cadre </w:t>
      </w:r>
    </w:p>
    <w:p w:rsidR="00E35C5B" w:rsidRPr="00E35C5B" w:rsidRDefault="00D02B08" w:rsidP="00D02B08">
      <w:pPr>
        <w:spacing w:before="240" w:line="276" w:lineRule="auto"/>
        <w:jc w:val="both"/>
        <w:rPr>
          <w:rFonts w:ascii="Arial" w:hAnsi="Arial" w:cs="Arial"/>
          <w:b/>
          <w:u w:val="single"/>
          <w:lang w:val="fr-LU"/>
        </w:rPr>
      </w:pPr>
      <w:r>
        <w:rPr>
          <w:rFonts w:ascii="Arial" w:hAnsi="Arial" w:cs="Arial"/>
          <w:b/>
          <w:u w:val="single"/>
          <w:lang w:val="fr-LU"/>
        </w:rPr>
        <w:br/>
        <w:t xml:space="preserve">II. Pour les </w:t>
      </w:r>
      <w:r w:rsidR="00E35C5B">
        <w:rPr>
          <w:rFonts w:ascii="Arial" w:hAnsi="Arial" w:cs="Arial"/>
          <w:b/>
          <w:u w:val="single"/>
          <w:lang w:val="fr-LU"/>
        </w:rPr>
        <w:t>PA</w:t>
      </w:r>
      <w:r w:rsidR="00282278">
        <w:rPr>
          <w:rFonts w:ascii="Arial" w:hAnsi="Arial" w:cs="Arial"/>
          <w:b/>
          <w:u w:val="single"/>
          <w:lang w:val="fr-LU"/>
        </w:rPr>
        <w:t>P NQ situés dans l’emprise du P</w:t>
      </w:r>
      <w:r w:rsidR="00E35C5B">
        <w:rPr>
          <w:rFonts w:ascii="Arial" w:hAnsi="Arial" w:cs="Arial"/>
          <w:b/>
          <w:u w:val="single"/>
          <w:lang w:val="fr-LU"/>
        </w:rPr>
        <w:t>S « Logement »</w:t>
      </w:r>
      <w:r>
        <w:rPr>
          <w:rFonts w:ascii="Arial" w:hAnsi="Arial" w:cs="Arial"/>
          <w:b/>
          <w:u w:val="single"/>
          <w:lang w:val="fr-LU"/>
        </w:rPr>
        <w:t> :</w:t>
      </w:r>
    </w:p>
    <w:p w:rsidR="00815B92" w:rsidRDefault="00815B92" w:rsidP="00D02B08">
      <w:pPr>
        <w:spacing w:line="276" w:lineRule="auto"/>
        <w:jc w:val="both"/>
        <w:rPr>
          <w:rFonts w:ascii="Arial" w:hAnsi="Arial" w:cs="Arial"/>
          <w:lang w:val="fr-LU"/>
        </w:rPr>
      </w:pPr>
      <w:r>
        <w:rPr>
          <w:rFonts w:ascii="Arial" w:hAnsi="Arial" w:cs="Arial"/>
          <w:lang w:val="fr-LU"/>
        </w:rPr>
        <w:t>Dans le cas de figure où le PAP NQ se situe d</w:t>
      </w:r>
      <w:r w:rsidR="00282278">
        <w:rPr>
          <w:rFonts w:ascii="Arial" w:hAnsi="Arial" w:cs="Arial"/>
          <w:lang w:val="fr-LU"/>
        </w:rPr>
        <w:t>ans le champ d’application du P</w:t>
      </w:r>
      <w:r>
        <w:rPr>
          <w:rFonts w:ascii="Arial" w:hAnsi="Arial" w:cs="Arial"/>
          <w:lang w:val="fr-LU"/>
        </w:rPr>
        <w:t xml:space="preserve">S « Logement », les acteurs sont vivement invités à conclure, en parallèle à l’accord-cadre précité, une deuxième convention préliminaire. </w:t>
      </w:r>
    </w:p>
    <w:p w:rsidR="00815B92" w:rsidRPr="00815B92" w:rsidRDefault="00815B92" w:rsidP="00D02B08">
      <w:pPr>
        <w:spacing w:line="276" w:lineRule="auto"/>
        <w:jc w:val="both"/>
        <w:rPr>
          <w:rFonts w:ascii="Arial" w:hAnsi="Arial" w:cs="Arial"/>
          <w:lang w:val="fr-LU"/>
        </w:rPr>
      </w:pPr>
      <w:r>
        <w:rPr>
          <w:rFonts w:ascii="Arial" w:hAnsi="Arial" w:cs="Arial"/>
          <w:lang w:val="fr-LU"/>
        </w:rPr>
        <w:t xml:space="preserve">Il est rappelé dans ce contexte que </w:t>
      </w:r>
      <w:r w:rsidR="00282278">
        <w:rPr>
          <w:rFonts w:ascii="Arial" w:hAnsi="Arial" w:cs="Arial"/>
          <w:lang w:val="fr-LU"/>
        </w:rPr>
        <w:t>l’application du P</w:t>
      </w:r>
      <w:r>
        <w:rPr>
          <w:rFonts w:ascii="Arial" w:hAnsi="Arial" w:cs="Arial"/>
          <w:lang w:val="fr-LU"/>
        </w:rPr>
        <w:t>S « Logement » peut, le cas échéant, engendrer des taux de réservation spécifiques, qui appellent à leur tour</w:t>
      </w:r>
      <w:r w:rsidR="005B2977">
        <w:rPr>
          <w:rFonts w:ascii="Arial" w:hAnsi="Arial" w:cs="Arial"/>
          <w:lang w:val="fr-LU"/>
        </w:rPr>
        <w:t xml:space="preserve"> une contrepartie spécifique.  </w:t>
      </w:r>
      <w:r>
        <w:rPr>
          <w:rFonts w:ascii="Arial" w:hAnsi="Arial" w:cs="Arial"/>
          <w:lang w:val="fr-LU"/>
        </w:rPr>
        <w:t xml:space="preserve">Afin d’assurer une bonne planification de projet, </w:t>
      </w:r>
      <w:r w:rsidR="00B70C94">
        <w:rPr>
          <w:rFonts w:ascii="Arial" w:hAnsi="Arial" w:cs="Arial"/>
          <w:lang w:val="fr-LU"/>
        </w:rPr>
        <w:t xml:space="preserve">il y a dès lors lieu de conclure dès ce stade une convention déterminant cette contrepartie complémentaire. </w:t>
      </w:r>
    </w:p>
    <w:p w:rsidR="00B70C94" w:rsidRDefault="00B70C94" w:rsidP="00D02B08">
      <w:pPr>
        <w:spacing w:line="276" w:lineRule="auto"/>
        <w:jc w:val="both"/>
        <w:rPr>
          <w:rFonts w:ascii="Arial" w:hAnsi="Arial" w:cs="Arial"/>
          <w:i/>
          <w:lang w:val="fr-LU"/>
        </w:rPr>
      </w:pPr>
      <w:r>
        <w:rPr>
          <w:rFonts w:ascii="Arial" w:hAnsi="Arial" w:cs="Arial"/>
          <w:lang w:val="fr-LU"/>
        </w:rPr>
        <w:t>Celle-ci</w:t>
      </w:r>
      <w:r w:rsidRPr="006F08B1">
        <w:rPr>
          <w:rFonts w:ascii="Arial" w:hAnsi="Arial" w:cs="Arial"/>
          <w:lang w:val="fr-LU"/>
        </w:rPr>
        <w:t xml:space="preserve"> se conçoit soit sous forme pécuniaire ou bien sous forme d’une augmentation supplémentaire du potentiel constructible, qui se rajoute à l’augmentation de 10% résultant de l’application de l’article 29</w:t>
      </w:r>
      <w:r w:rsidRPr="006F08B1">
        <w:rPr>
          <w:rFonts w:ascii="Arial" w:hAnsi="Arial" w:cs="Arial"/>
          <w:i/>
          <w:lang w:val="fr-LU"/>
        </w:rPr>
        <w:t xml:space="preserve">bis. </w:t>
      </w:r>
    </w:p>
    <w:p w:rsidR="00815B92" w:rsidRPr="00B70C94" w:rsidRDefault="00815B92" w:rsidP="00D02B08">
      <w:pPr>
        <w:spacing w:line="276" w:lineRule="auto"/>
        <w:jc w:val="both"/>
        <w:rPr>
          <w:rFonts w:ascii="Arial" w:hAnsi="Arial" w:cs="Arial"/>
          <w:lang w:val="fr-LU"/>
        </w:rPr>
      </w:pPr>
      <w:r w:rsidRPr="00B70C94">
        <w:rPr>
          <w:rFonts w:ascii="Arial" w:hAnsi="Arial" w:cs="Arial"/>
          <w:lang w:val="fr-LU"/>
        </w:rPr>
        <w:t xml:space="preserve">Une convention-type pour les PAP </w:t>
      </w:r>
      <w:r w:rsidR="00B70C94">
        <w:rPr>
          <w:rFonts w:ascii="Arial" w:hAnsi="Arial" w:cs="Arial"/>
          <w:lang w:val="fr-LU"/>
        </w:rPr>
        <w:t xml:space="preserve">NQ </w:t>
      </w:r>
      <w:r w:rsidR="00282278">
        <w:rPr>
          <w:rFonts w:ascii="Arial" w:hAnsi="Arial" w:cs="Arial"/>
          <w:lang w:val="fr-LU"/>
        </w:rPr>
        <w:t>situés dans le P</w:t>
      </w:r>
      <w:r w:rsidRPr="00B70C94">
        <w:rPr>
          <w:rFonts w:ascii="Arial" w:hAnsi="Arial" w:cs="Arial"/>
          <w:lang w:val="fr-LU"/>
        </w:rPr>
        <w:t xml:space="preserve">S « Logement » est proposée </w:t>
      </w:r>
      <w:r w:rsidR="005B2977">
        <w:rPr>
          <w:rFonts w:ascii="Arial" w:hAnsi="Arial" w:cs="Arial"/>
          <w:lang w:val="fr-LU"/>
        </w:rPr>
        <w:t xml:space="preserve">sous le lien suivant </w:t>
      </w:r>
      <w:r w:rsidRPr="00B70C94">
        <w:rPr>
          <w:rFonts w:ascii="Arial" w:hAnsi="Arial" w:cs="Arial"/>
          <w:lang w:val="fr-LU"/>
        </w:rPr>
        <w:t xml:space="preserve">pour chacune de ces </w:t>
      </w:r>
      <w:r w:rsidR="005B2977">
        <w:rPr>
          <w:rFonts w:ascii="Arial" w:hAnsi="Arial" w:cs="Arial"/>
          <w:lang w:val="fr-LU"/>
        </w:rPr>
        <w:t xml:space="preserve">deux </w:t>
      </w:r>
      <w:r w:rsidRPr="00B70C94">
        <w:rPr>
          <w:rFonts w:ascii="Arial" w:hAnsi="Arial" w:cs="Arial"/>
          <w:lang w:val="fr-LU"/>
        </w:rPr>
        <w:t>hypothèses, étant précisé que ces modèles sont également modulés en fonction de l’identité du promoteur public</w:t>
      </w:r>
      <w:r w:rsidR="005B2977">
        <w:rPr>
          <w:rFonts w:ascii="Arial" w:hAnsi="Arial" w:cs="Arial"/>
          <w:lang w:val="fr-LU"/>
        </w:rPr>
        <w:t xml:space="preserve"> octroyant la contrepartie complémentaire </w:t>
      </w:r>
      <w:r w:rsidR="00B70C94">
        <w:rPr>
          <w:rFonts w:ascii="Arial" w:hAnsi="Arial" w:cs="Arial"/>
          <w:lang w:val="fr-LU"/>
        </w:rPr>
        <w:t xml:space="preserve">: </w:t>
      </w:r>
    </w:p>
    <w:p w:rsidR="00815B92" w:rsidRPr="00B70C94" w:rsidRDefault="00B70C94" w:rsidP="00DE20E9">
      <w:pPr>
        <w:pStyle w:val="ListParagraph"/>
        <w:spacing w:before="240" w:line="276" w:lineRule="auto"/>
        <w:ind w:left="1121"/>
        <w:jc w:val="both"/>
        <w:rPr>
          <w:rFonts w:ascii="Arial" w:hAnsi="Arial" w:cs="Arial"/>
          <w:u w:val="single"/>
          <w:lang w:val="fr-LU"/>
        </w:rPr>
      </w:pPr>
      <w:r>
        <w:rPr>
          <w:rFonts w:ascii="Arial" w:hAnsi="Arial" w:cs="Arial"/>
          <w:u w:val="single"/>
          <w:lang w:val="fr-LU"/>
        </w:rPr>
        <w:t xml:space="preserve">Contrepartie pécuniaire : </w:t>
      </w:r>
    </w:p>
    <w:p w:rsidR="00815B92" w:rsidRPr="00B70C94" w:rsidRDefault="00815B92" w:rsidP="00DE20E9">
      <w:pPr>
        <w:pStyle w:val="ListParagraph"/>
        <w:numPr>
          <w:ilvl w:val="0"/>
          <w:numId w:val="4"/>
        </w:numPr>
        <w:spacing w:before="240" w:line="276" w:lineRule="auto"/>
        <w:ind w:left="1140" w:hanging="357"/>
        <w:contextualSpacing w:val="0"/>
        <w:jc w:val="both"/>
        <w:rPr>
          <w:rFonts w:ascii="Arial" w:hAnsi="Arial" w:cs="Arial"/>
          <w:b/>
          <w:lang w:val="fr-LU"/>
        </w:rPr>
      </w:pPr>
      <w:r w:rsidRPr="00B70C94">
        <w:rPr>
          <w:rFonts w:ascii="Arial" w:hAnsi="Arial" w:cs="Arial"/>
          <w:b/>
          <w:i/>
          <w:lang w:val="fr-LU"/>
        </w:rPr>
        <w:t>Convention sur l</w:t>
      </w:r>
      <w:r w:rsidR="00282278">
        <w:rPr>
          <w:rFonts w:ascii="Arial" w:hAnsi="Arial" w:cs="Arial"/>
          <w:b/>
          <w:i/>
          <w:lang w:val="fr-LU"/>
        </w:rPr>
        <w:t>a contrepartie complémentaire P</w:t>
      </w:r>
      <w:r w:rsidRPr="00B70C94">
        <w:rPr>
          <w:rFonts w:ascii="Arial" w:hAnsi="Arial" w:cs="Arial"/>
          <w:b/>
          <w:i/>
          <w:lang w:val="fr-LU"/>
        </w:rPr>
        <w:t>SL (contrepartie pécuniaire par l’administration communale)</w:t>
      </w:r>
    </w:p>
    <w:p w:rsidR="00815B92" w:rsidRPr="00B70C94" w:rsidRDefault="00815B92" w:rsidP="00DE20E9">
      <w:pPr>
        <w:pStyle w:val="ListParagraph"/>
        <w:numPr>
          <w:ilvl w:val="0"/>
          <w:numId w:val="4"/>
        </w:numPr>
        <w:spacing w:after="0" w:line="276" w:lineRule="auto"/>
        <w:ind w:left="1140" w:hanging="357"/>
        <w:contextualSpacing w:val="0"/>
        <w:jc w:val="both"/>
        <w:rPr>
          <w:rFonts w:ascii="Arial" w:hAnsi="Arial" w:cs="Arial"/>
          <w:b/>
          <w:lang w:val="fr-LU"/>
        </w:rPr>
      </w:pPr>
      <w:r w:rsidRPr="00B70C94">
        <w:rPr>
          <w:rFonts w:ascii="Arial" w:hAnsi="Arial" w:cs="Arial"/>
          <w:b/>
          <w:i/>
          <w:lang w:val="fr-LU"/>
        </w:rPr>
        <w:t>Convention sur l</w:t>
      </w:r>
      <w:r w:rsidR="00282278">
        <w:rPr>
          <w:rFonts w:ascii="Arial" w:hAnsi="Arial" w:cs="Arial"/>
          <w:b/>
          <w:i/>
          <w:lang w:val="fr-LU"/>
        </w:rPr>
        <w:t>a contrepartie complémentaire P</w:t>
      </w:r>
      <w:r w:rsidRPr="00B70C94">
        <w:rPr>
          <w:rFonts w:ascii="Arial" w:hAnsi="Arial" w:cs="Arial"/>
          <w:b/>
          <w:i/>
          <w:lang w:val="fr-LU"/>
        </w:rPr>
        <w:t>SL (contrepartie pécuniaire par le FDL/la SNHBM)</w:t>
      </w:r>
    </w:p>
    <w:p w:rsidR="00815B92" w:rsidRPr="006F08B1" w:rsidRDefault="00815B92" w:rsidP="00DE20E9">
      <w:pPr>
        <w:pStyle w:val="ListParagraph"/>
        <w:spacing w:line="276" w:lineRule="auto"/>
        <w:ind w:left="1186"/>
        <w:jc w:val="both"/>
        <w:rPr>
          <w:rFonts w:ascii="Arial" w:hAnsi="Arial" w:cs="Arial"/>
          <w:lang w:val="fr-LU"/>
        </w:rPr>
      </w:pPr>
    </w:p>
    <w:p w:rsidR="00815B92" w:rsidRPr="00B70C94" w:rsidRDefault="00815B92" w:rsidP="00DE20E9">
      <w:pPr>
        <w:pStyle w:val="ListParagraph"/>
        <w:spacing w:line="276" w:lineRule="auto"/>
        <w:ind w:left="1121"/>
        <w:contextualSpacing w:val="0"/>
        <w:jc w:val="both"/>
        <w:rPr>
          <w:rFonts w:ascii="Arial" w:hAnsi="Arial" w:cs="Arial"/>
          <w:lang w:val="fr-LU"/>
        </w:rPr>
      </w:pPr>
      <w:r w:rsidRPr="006F08B1">
        <w:rPr>
          <w:rFonts w:ascii="Arial" w:hAnsi="Arial" w:cs="Arial"/>
          <w:u w:val="single"/>
          <w:lang w:val="fr-LU"/>
        </w:rPr>
        <w:t xml:space="preserve">Contrepartie sous forme de potentiel constructible : </w:t>
      </w:r>
    </w:p>
    <w:p w:rsidR="00815B92" w:rsidRPr="00E35C5B" w:rsidRDefault="00815B92" w:rsidP="00DE20E9">
      <w:pPr>
        <w:pStyle w:val="ListParagraph"/>
        <w:numPr>
          <w:ilvl w:val="0"/>
          <w:numId w:val="4"/>
        </w:numPr>
        <w:spacing w:line="276" w:lineRule="auto"/>
        <w:ind w:left="1143"/>
        <w:contextualSpacing w:val="0"/>
        <w:jc w:val="both"/>
        <w:rPr>
          <w:rFonts w:ascii="Arial" w:hAnsi="Arial" w:cs="Arial"/>
          <w:b/>
          <w:lang w:val="fr-LU"/>
        </w:rPr>
      </w:pPr>
      <w:r w:rsidRPr="00B70C94">
        <w:rPr>
          <w:rFonts w:ascii="Arial" w:hAnsi="Arial" w:cs="Arial"/>
          <w:b/>
          <w:i/>
          <w:lang w:val="fr-LU"/>
        </w:rPr>
        <w:t>Convention sur l</w:t>
      </w:r>
      <w:r w:rsidR="00282278">
        <w:rPr>
          <w:rFonts w:ascii="Arial" w:hAnsi="Arial" w:cs="Arial"/>
          <w:b/>
          <w:i/>
          <w:lang w:val="fr-LU"/>
        </w:rPr>
        <w:t>a contrepartie complémentaire P</w:t>
      </w:r>
      <w:r w:rsidRPr="00B70C94">
        <w:rPr>
          <w:rFonts w:ascii="Arial" w:hAnsi="Arial" w:cs="Arial"/>
          <w:b/>
          <w:i/>
          <w:lang w:val="fr-LU"/>
        </w:rPr>
        <w:t>SL (contrepartie potentiel constructible</w:t>
      </w:r>
    </w:p>
    <w:p w:rsidR="00E35C5B" w:rsidRDefault="00D02B08" w:rsidP="00D02B08">
      <w:pPr>
        <w:spacing w:line="276" w:lineRule="auto"/>
        <w:jc w:val="both"/>
        <w:rPr>
          <w:rFonts w:ascii="Arial" w:hAnsi="Arial" w:cs="Arial"/>
          <w:b/>
          <w:u w:val="single"/>
          <w:lang w:val="fr-LU"/>
        </w:rPr>
      </w:pPr>
      <w:r>
        <w:rPr>
          <w:rFonts w:ascii="Arial" w:hAnsi="Arial" w:cs="Arial"/>
          <w:b/>
          <w:u w:val="single"/>
          <w:lang w:val="fr-LU"/>
        </w:rPr>
        <w:br/>
        <w:t xml:space="preserve">III. </w:t>
      </w:r>
      <w:r w:rsidR="00A46F0A">
        <w:rPr>
          <w:rFonts w:ascii="Arial" w:hAnsi="Arial" w:cs="Arial"/>
          <w:b/>
          <w:u w:val="single"/>
          <w:lang w:val="fr-LU"/>
        </w:rPr>
        <w:t>Pour t</w:t>
      </w:r>
      <w:r>
        <w:rPr>
          <w:rFonts w:ascii="Arial" w:hAnsi="Arial" w:cs="Arial"/>
          <w:b/>
          <w:u w:val="single"/>
          <w:lang w:val="fr-LU"/>
        </w:rPr>
        <w:t>ous les PAP NQ </w:t>
      </w:r>
      <w:r w:rsidR="007F1059">
        <w:rPr>
          <w:rFonts w:ascii="Arial" w:hAnsi="Arial" w:cs="Arial"/>
          <w:b/>
          <w:u w:val="single"/>
          <w:lang w:val="fr-LU"/>
        </w:rPr>
        <w:t>(</w:t>
      </w:r>
      <w:r w:rsidR="00282278">
        <w:rPr>
          <w:rFonts w:ascii="Arial" w:hAnsi="Arial" w:cs="Arial"/>
          <w:b/>
          <w:u w:val="single"/>
          <w:lang w:val="fr-LU"/>
        </w:rPr>
        <w:t>y compris ceux situés dans le P</w:t>
      </w:r>
      <w:r w:rsidR="007F1059">
        <w:rPr>
          <w:rFonts w:ascii="Arial" w:hAnsi="Arial" w:cs="Arial"/>
          <w:b/>
          <w:u w:val="single"/>
          <w:lang w:val="fr-LU"/>
        </w:rPr>
        <w:t xml:space="preserve">S « Logement ») </w:t>
      </w:r>
      <w:r>
        <w:rPr>
          <w:rFonts w:ascii="Arial" w:hAnsi="Arial" w:cs="Arial"/>
          <w:b/>
          <w:u w:val="single"/>
          <w:lang w:val="fr-LU"/>
        </w:rPr>
        <w:t>:</w:t>
      </w:r>
    </w:p>
    <w:p w:rsidR="00D02B08" w:rsidRDefault="00D02B08" w:rsidP="00D02B08">
      <w:pPr>
        <w:spacing w:line="276" w:lineRule="auto"/>
        <w:jc w:val="both"/>
        <w:rPr>
          <w:rFonts w:ascii="Arial" w:hAnsi="Arial" w:cs="Arial"/>
          <w:lang w:val="fr-LU"/>
        </w:rPr>
      </w:pPr>
      <w:r>
        <w:rPr>
          <w:rFonts w:ascii="Arial" w:hAnsi="Arial" w:cs="Arial"/>
          <w:lang w:val="fr-LU"/>
        </w:rPr>
        <w:t>Que le PAP NQ soit situé ou non d</w:t>
      </w:r>
      <w:r w:rsidR="00282278">
        <w:rPr>
          <w:rFonts w:ascii="Arial" w:hAnsi="Arial" w:cs="Arial"/>
          <w:lang w:val="fr-LU"/>
        </w:rPr>
        <w:t>ans le champ d’application du P</w:t>
      </w:r>
      <w:r>
        <w:rPr>
          <w:rFonts w:ascii="Arial" w:hAnsi="Arial" w:cs="Arial"/>
          <w:lang w:val="fr-LU"/>
        </w:rPr>
        <w:t>S « Logement », il convient ensuite de régler la cession à opérer au bénéfice du promoteur public.</w:t>
      </w:r>
    </w:p>
    <w:p w:rsidR="00127453" w:rsidRDefault="00D02B08" w:rsidP="00D02B08">
      <w:pPr>
        <w:spacing w:line="276" w:lineRule="auto"/>
        <w:jc w:val="both"/>
        <w:rPr>
          <w:rFonts w:ascii="Arial" w:hAnsi="Arial" w:cs="Arial"/>
          <w:lang w:val="fr-LU"/>
        </w:rPr>
      </w:pPr>
      <w:r>
        <w:rPr>
          <w:rFonts w:ascii="Arial" w:hAnsi="Arial" w:cs="Arial"/>
          <w:lang w:val="fr-LU"/>
        </w:rPr>
        <w:lastRenderedPageBreak/>
        <w:t xml:space="preserve">Deux grands cas de figure sont à distinguer dans ce contexte, </w:t>
      </w:r>
      <w:r w:rsidR="009E6683">
        <w:rPr>
          <w:rFonts w:ascii="Arial" w:hAnsi="Arial" w:cs="Arial"/>
          <w:lang w:val="fr-LU"/>
        </w:rPr>
        <w:t xml:space="preserve">en fonction de l’envergure de la cession. </w:t>
      </w:r>
      <w:r>
        <w:rPr>
          <w:rFonts w:ascii="Arial" w:hAnsi="Arial" w:cs="Arial"/>
          <w:lang w:val="fr-LU"/>
        </w:rPr>
        <w:t xml:space="preserve"> </w:t>
      </w:r>
    </w:p>
    <w:p w:rsidR="009E6683" w:rsidRDefault="00D02B08" w:rsidP="00D02B08">
      <w:pPr>
        <w:spacing w:line="276" w:lineRule="auto"/>
        <w:jc w:val="both"/>
        <w:rPr>
          <w:rFonts w:ascii="Arial" w:hAnsi="Arial" w:cs="Arial"/>
          <w:u w:val="single"/>
          <w:lang w:val="fr-LU"/>
        </w:rPr>
      </w:pPr>
      <w:r>
        <w:rPr>
          <w:rFonts w:ascii="Arial" w:hAnsi="Arial" w:cs="Arial"/>
          <w:u w:val="single"/>
          <w:lang w:val="fr-LU"/>
        </w:rPr>
        <w:t>I</w:t>
      </w:r>
      <w:r w:rsidR="001A43F2">
        <w:rPr>
          <w:rFonts w:ascii="Arial" w:hAnsi="Arial" w:cs="Arial"/>
          <w:u w:val="single"/>
          <w:lang w:val="fr-LU"/>
        </w:rPr>
        <w:t xml:space="preserve">II.1. </w:t>
      </w:r>
      <w:r w:rsidR="001A43F2" w:rsidRPr="001A43F2">
        <w:rPr>
          <w:rFonts w:ascii="Arial" w:hAnsi="Arial" w:cs="Arial"/>
          <w:u w:val="single"/>
          <w:lang w:val="fr-LU"/>
        </w:rPr>
        <w:t xml:space="preserve">Cession uniquement des fonds </w:t>
      </w:r>
    </w:p>
    <w:p w:rsidR="00DD56C3" w:rsidRDefault="00DD56C3" w:rsidP="00D02B08">
      <w:pPr>
        <w:spacing w:line="276" w:lineRule="auto"/>
        <w:jc w:val="both"/>
        <w:rPr>
          <w:rFonts w:ascii="Arial" w:hAnsi="Arial" w:cs="Arial"/>
          <w:lang w:val="fr-LU"/>
        </w:rPr>
      </w:pPr>
      <w:r>
        <w:rPr>
          <w:rFonts w:ascii="Arial" w:hAnsi="Arial" w:cs="Arial"/>
          <w:lang w:val="fr-LU"/>
        </w:rPr>
        <w:t xml:space="preserve">Dans ce cas de figure, l’exécutant du PAP se limite à céder au promoteur public les fonds réservés aux logements abordables, sans construire les logements abordables. La réalisation de ceux-ci incombe dès lors au promoteur public. </w:t>
      </w:r>
    </w:p>
    <w:p w:rsidR="00DD56C3" w:rsidRDefault="00DD56C3" w:rsidP="00D02B08">
      <w:pPr>
        <w:spacing w:line="276" w:lineRule="auto"/>
        <w:jc w:val="both"/>
        <w:rPr>
          <w:rFonts w:ascii="Arial" w:hAnsi="Arial" w:cs="Arial"/>
          <w:lang w:val="fr-LU"/>
        </w:rPr>
      </w:pPr>
      <w:r>
        <w:rPr>
          <w:rFonts w:ascii="Arial" w:hAnsi="Arial" w:cs="Arial"/>
          <w:lang w:val="fr-LU"/>
        </w:rPr>
        <w:t xml:space="preserve">La loi prévoit qu’une convention doit être signée entre les acteurs afin de régler les modalités de </w:t>
      </w:r>
      <w:r w:rsidR="00A23CCA">
        <w:rPr>
          <w:rFonts w:ascii="Arial" w:hAnsi="Arial" w:cs="Arial"/>
          <w:lang w:val="fr-LU"/>
        </w:rPr>
        <w:t>la cession des fonds</w:t>
      </w:r>
      <w:r>
        <w:rPr>
          <w:rFonts w:ascii="Arial" w:hAnsi="Arial" w:cs="Arial"/>
          <w:lang w:val="fr-LU"/>
        </w:rPr>
        <w:t>. Cette convention s’apparente à un compromis de vente</w:t>
      </w:r>
      <w:r w:rsidR="008056C4">
        <w:rPr>
          <w:rFonts w:ascii="Arial" w:hAnsi="Arial" w:cs="Arial"/>
          <w:lang w:val="fr-LU"/>
        </w:rPr>
        <w:t xml:space="preserve"> pour un terrain</w:t>
      </w:r>
      <w:r>
        <w:rPr>
          <w:rFonts w:ascii="Arial" w:hAnsi="Arial" w:cs="Arial"/>
          <w:lang w:val="fr-LU"/>
        </w:rPr>
        <w:t xml:space="preserve">, sauf que la contrepartie à la cession n’est pas fixée par </w:t>
      </w:r>
      <w:r w:rsidR="00A23CCA">
        <w:rPr>
          <w:rFonts w:ascii="Arial" w:hAnsi="Arial" w:cs="Arial"/>
          <w:lang w:val="fr-LU"/>
        </w:rPr>
        <w:t xml:space="preserve">les </w:t>
      </w:r>
      <w:r>
        <w:rPr>
          <w:rFonts w:ascii="Arial" w:hAnsi="Arial" w:cs="Arial"/>
          <w:lang w:val="fr-LU"/>
        </w:rPr>
        <w:t>parties, mais par la loi, sous forme d’une augmentation du potentiel constructible au bénéfice de l’exécutant du PAP</w:t>
      </w:r>
      <w:r w:rsidR="00A23CCA">
        <w:rPr>
          <w:rFonts w:ascii="Arial" w:hAnsi="Arial" w:cs="Arial"/>
          <w:lang w:val="fr-LU"/>
        </w:rPr>
        <w:t xml:space="preserve"> NQ</w:t>
      </w:r>
      <w:r>
        <w:rPr>
          <w:rFonts w:ascii="Arial" w:hAnsi="Arial" w:cs="Arial"/>
          <w:lang w:val="fr-LU"/>
        </w:rPr>
        <w:t xml:space="preserve">. </w:t>
      </w:r>
    </w:p>
    <w:p w:rsidR="00A23CCA" w:rsidRPr="001A43F2" w:rsidRDefault="00A23CCA" w:rsidP="00A23CCA">
      <w:pPr>
        <w:spacing w:line="276" w:lineRule="auto"/>
        <w:jc w:val="both"/>
        <w:rPr>
          <w:rFonts w:ascii="Arial" w:hAnsi="Arial" w:cs="Arial"/>
          <w:lang w:val="fr-LU"/>
        </w:rPr>
      </w:pPr>
      <w:r w:rsidRPr="001A43F2">
        <w:rPr>
          <w:rFonts w:ascii="Arial" w:hAnsi="Arial" w:cs="Arial"/>
          <w:lang w:val="fr-LU"/>
        </w:rPr>
        <w:t xml:space="preserve">Il est précisé dans ce contexte que la conclusion de la convention </w:t>
      </w:r>
      <w:r>
        <w:rPr>
          <w:rFonts w:ascii="Arial" w:hAnsi="Arial" w:cs="Arial"/>
          <w:lang w:val="fr-LU"/>
        </w:rPr>
        <w:t>portant sur</w:t>
      </w:r>
      <w:r w:rsidRPr="001A43F2">
        <w:rPr>
          <w:rFonts w:ascii="Arial" w:hAnsi="Arial" w:cs="Arial"/>
          <w:lang w:val="fr-LU"/>
        </w:rPr>
        <w:t xml:space="preserve"> la cession des fonds peut facultativement être intégrée dans la convention d’exécution prévue par l’article 36 de la loi ACDU.</w:t>
      </w:r>
    </w:p>
    <w:p w:rsidR="001A43F2" w:rsidRDefault="001A43F2" w:rsidP="00D02B08">
      <w:pPr>
        <w:spacing w:line="276" w:lineRule="auto"/>
        <w:jc w:val="both"/>
        <w:rPr>
          <w:rFonts w:ascii="Arial" w:hAnsi="Arial" w:cs="Arial"/>
          <w:lang w:val="fr-LU"/>
        </w:rPr>
      </w:pPr>
      <w:r w:rsidRPr="001A43F2">
        <w:rPr>
          <w:rFonts w:ascii="Arial" w:hAnsi="Arial" w:cs="Arial"/>
          <w:lang w:val="fr-LU"/>
        </w:rPr>
        <w:t xml:space="preserve">Il est rappelé que </w:t>
      </w:r>
      <w:r w:rsidR="00A23CCA">
        <w:rPr>
          <w:rFonts w:ascii="Arial" w:hAnsi="Arial" w:cs="Arial"/>
          <w:lang w:val="fr-LU"/>
        </w:rPr>
        <w:t>la convention portant sur la cession des fonds</w:t>
      </w:r>
      <w:r w:rsidRPr="001A43F2">
        <w:rPr>
          <w:rFonts w:ascii="Arial" w:hAnsi="Arial" w:cs="Arial"/>
          <w:lang w:val="fr-LU"/>
        </w:rPr>
        <w:t xml:space="preserve"> doit obligatoirement avoir fait l’objet d’une transmission </w:t>
      </w:r>
      <w:r w:rsidR="00A23CCA">
        <w:rPr>
          <w:rFonts w:ascii="Arial" w:hAnsi="Arial" w:cs="Arial"/>
          <w:lang w:val="fr-LU"/>
        </w:rPr>
        <w:t>au ministre de l’Intérieur</w:t>
      </w:r>
      <w:r w:rsidRPr="001A43F2">
        <w:rPr>
          <w:rFonts w:ascii="Arial" w:hAnsi="Arial" w:cs="Arial"/>
          <w:lang w:val="fr-LU"/>
        </w:rPr>
        <w:t xml:space="preserve"> avant qu’une autorisation de construire portant sur </w:t>
      </w:r>
      <w:r w:rsidR="00DD56C3">
        <w:rPr>
          <w:rFonts w:ascii="Arial" w:hAnsi="Arial" w:cs="Arial"/>
          <w:lang w:val="fr-LU"/>
        </w:rPr>
        <w:t>un quelconque logement prévu</w:t>
      </w:r>
      <w:r w:rsidRPr="001A43F2">
        <w:rPr>
          <w:rFonts w:ascii="Arial" w:hAnsi="Arial" w:cs="Arial"/>
          <w:lang w:val="fr-LU"/>
        </w:rPr>
        <w:t xml:space="preserve"> par le PAP</w:t>
      </w:r>
      <w:r w:rsidR="00A23CCA">
        <w:rPr>
          <w:rFonts w:ascii="Arial" w:hAnsi="Arial" w:cs="Arial"/>
          <w:lang w:val="fr-LU"/>
        </w:rPr>
        <w:t xml:space="preserve"> NQ</w:t>
      </w:r>
      <w:r w:rsidRPr="001A43F2">
        <w:rPr>
          <w:rFonts w:ascii="Arial" w:hAnsi="Arial" w:cs="Arial"/>
          <w:lang w:val="fr-LU"/>
        </w:rPr>
        <w:t xml:space="preserve"> ne puisse être délivrée,</w:t>
      </w:r>
      <w:r w:rsidR="00DD56C3">
        <w:rPr>
          <w:rFonts w:ascii="Arial" w:hAnsi="Arial" w:cs="Arial"/>
          <w:lang w:val="fr-LU"/>
        </w:rPr>
        <w:t xml:space="preserve"> conformément à l’article 29</w:t>
      </w:r>
      <w:r w:rsidR="00DD56C3" w:rsidRPr="00DD56C3">
        <w:rPr>
          <w:rFonts w:ascii="Arial" w:hAnsi="Arial" w:cs="Arial"/>
          <w:i/>
          <w:lang w:val="fr-LU"/>
        </w:rPr>
        <w:t>bis</w:t>
      </w:r>
      <w:r w:rsidR="00DD56C3">
        <w:rPr>
          <w:rFonts w:ascii="Arial" w:hAnsi="Arial" w:cs="Arial"/>
          <w:lang w:val="fr-LU"/>
        </w:rPr>
        <w:t>, paragraphe 8</w:t>
      </w:r>
      <w:r w:rsidR="00A23CCA">
        <w:rPr>
          <w:rFonts w:ascii="Arial" w:hAnsi="Arial" w:cs="Arial"/>
          <w:lang w:val="fr-LU"/>
        </w:rPr>
        <w:t>.</w:t>
      </w:r>
      <w:r w:rsidRPr="001A43F2">
        <w:rPr>
          <w:rFonts w:ascii="Arial" w:hAnsi="Arial" w:cs="Arial"/>
          <w:lang w:val="fr-LU"/>
        </w:rPr>
        <w:t xml:space="preserve"> </w:t>
      </w:r>
    </w:p>
    <w:p w:rsidR="004C7BA6" w:rsidRPr="001A43F2" w:rsidRDefault="00D21EEE" w:rsidP="00D02B08">
      <w:pPr>
        <w:spacing w:line="276" w:lineRule="auto"/>
        <w:jc w:val="both"/>
        <w:rPr>
          <w:rFonts w:ascii="Arial" w:hAnsi="Arial" w:cs="Arial"/>
          <w:lang w:val="fr-LU"/>
        </w:rPr>
      </w:pPr>
      <w:r>
        <w:rPr>
          <w:rFonts w:ascii="Arial" w:hAnsi="Arial" w:cs="Arial"/>
          <w:lang w:val="fr-LU"/>
        </w:rPr>
        <w:t>Suite à la conclusion de la convention, l</w:t>
      </w:r>
      <w:r w:rsidR="004C7BA6">
        <w:rPr>
          <w:rFonts w:ascii="Arial" w:hAnsi="Arial" w:cs="Arial"/>
          <w:lang w:val="fr-LU"/>
        </w:rPr>
        <w:t xml:space="preserve">a cession des fonds est actée sous forme notariée. </w:t>
      </w:r>
    </w:p>
    <w:p w:rsidR="001A43F2" w:rsidRDefault="001A43F2" w:rsidP="00D02B08">
      <w:pPr>
        <w:spacing w:line="276" w:lineRule="auto"/>
        <w:jc w:val="both"/>
        <w:rPr>
          <w:rFonts w:ascii="Arial" w:hAnsi="Arial" w:cs="Arial"/>
          <w:lang w:val="fr-LU"/>
        </w:rPr>
      </w:pPr>
      <w:r w:rsidRPr="001A43F2">
        <w:rPr>
          <w:rFonts w:ascii="Arial" w:hAnsi="Arial" w:cs="Arial"/>
          <w:lang w:val="fr-LU"/>
        </w:rPr>
        <w:t xml:space="preserve">Il est encore relevé que les aides à la pierre susceptibles d’être versées par le ministère du Logement en faveur du projet sont liées aux respect d’un certain nombre de conditions. Ces conditions font l’objet d’un cahier des charges ainsi que d’une note descriptive mis à disposition par le ministère du Logement, dont il y a lieu de tenir compte lors de la planification du projet afin que celui-ci soit </w:t>
      </w:r>
      <w:proofErr w:type="spellStart"/>
      <w:r w:rsidRPr="001A43F2">
        <w:rPr>
          <w:rFonts w:ascii="Arial" w:hAnsi="Arial" w:cs="Arial"/>
          <w:lang w:val="fr-LU"/>
        </w:rPr>
        <w:t>subventionnable</w:t>
      </w:r>
      <w:proofErr w:type="spellEnd"/>
      <w:r w:rsidRPr="001A43F2">
        <w:rPr>
          <w:rFonts w:ascii="Arial" w:hAnsi="Arial" w:cs="Arial"/>
          <w:lang w:val="fr-LU"/>
        </w:rPr>
        <w:t>.</w:t>
      </w:r>
    </w:p>
    <w:p w:rsidR="0041491C" w:rsidRDefault="0041491C" w:rsidP="00D02B08">
      <w:pPr>
        <w:spacing w:line="276" w:lineRule="auto"/>
        <w:jc w:val="both"/>
        <w:rPr>
          <w:rFonts w:ascii="Arial" w:hAnsi="Arial" w:cs="Arial"/>
          <w:lang w:val="fr-LU"/>
        </w:rPr>
      </w:pPr>
      <w:r>
        <w:rPr>
          <w:rFonts w:ascii="Arial" w:hAnsi="Arial" w:cs="Arial"/>
          <w:lang w:val="fr-LU"/>
        </w:rPr>
        <w:t xml:space="preserve">Les modèles pour les conventions </w:t>
      </w:r>
      <w:r w:rsidR="005D77D6">
        <w:rPr>
          <w:rFonts w:ascii="Arial" w:hAnsi="Arial" w:cs="Arial"/>
          <w:lang w:val="fr-LU"/>
        </w:rPr>
        <w:t xml:space="preserve">portant sur la cession des fonds </w:t>
      </w:r>
      <w:r>
        <w:rPr>
          <w:rFonts w:ascii="Arial" w:hAnsi="Arial" w:cs="Arial"/>
          <w:lang w:val="fr-LU"/>
        </w:rPr>
        <w:t xml:space="preserve">mentionnées figurent sous les liens suivants : </w:t>
      </w:r>
    </w:p>
    <w:p w:rsidR="00127453" w:rsidRDefault="003D0A3A" w:rsidP="00DE20E9">
      <w:pPr>
        <w:pStyle w:val="ListParagraph"/>
        <w:numPr>
          <w:ilvl w:val="0"/>
          <w:numId w:val="5"/>
        </w:numPr>
        <w:spacing w:line="276" w:lineRule="auto"/>
        <w:ind w:left="1077" w:hanging="357"/>
        <w:contextualSpacing w:val="0"/>
        <w:jc w:val="both"/>
        <w:rPr>
          <w:rFonts w:ascii="Arial" w:hAnsi="Arial" w:cs="Arial"/>
          <w:b/>
          <w:i/>
          <w:lang w:val="fr-LU"/>
        </w:rPr>
      </w:pPr>
      <w:r>
        <w:rPr>
          <w:rFonts w:ascii="Arial" w:hAnsi="Arial" w:cs="Arial"/>
          <w:b/>
          <w:i/>
          <w:lang w:val="fr-LU"/>
        </w:rPr>
        <w:t>Convention 29</w:t>
      </w:r>
      <w:r>
        <w:rPr>
          <w:rFonts w:ascii="Arial" w:hAnsi="Arial" w:cs="Arial"/>
          <w:b/>
          <w:lang w:val="fr-LU"/>
        </w:rPr>
        <w:t xml:space="preserve">bis </w:t>
      </w:r>
      <w:r>
        <w:rPr>
          <w:rFonts w:ascii="Arial" w:hAnsi="Arial" w:cs="Arial"/>
          <w:b/>
          <w:i/>
          <w:lang w:val="fr-LU"/>
        </w:rPr>
        <w:t>– Cession à la commune des seuls fonds</w:t>
      </w:r>
    </w:p>
    <w:p w:rsidR="00DF2934" w:rsidRPr="00815B92" w:rsidRDefault="00DF2934" w:rsidP="00DE20E9">
      <w:pPr>
        <w:pStyle w:val="ListParagraph"/>
        <w:numPr>
          <w:ilvl w:val="0"/>
          <w:numId w:val="5"/>
        </w:numPr>
        <w:spacing w:line="276" w:lineRule="auto"/>
        <w:ind w:left="1077" w:hanging="357"/>
        <w:contextualSpacing w:val="0"/>
        <w:jc w:val="both"/>
        <w:rPr>
          <w:rFonts w:ascii="Arial" w:hAnsi="Arial" w:cs="Arial"/>
          <w:b/>
          <w:i/>
          <w:lang w:val="fr-LU"/>
        </w:rPr>
      </w:pPr>
      <w:r>
        <w:rPr>
          <w:rFonts w:ascii="Arial" w:hAnsi="Arial" w:cs="Arial"/>
          <w:b/>
          <w:i/>
          <w:lang w:val="fr-LU"/>
        </w:rPr>
        <w:t>Convention 29</w:t>
      </w:r>
      <w:r>
        <w:rPr>
          <w:rFonts w:ascii="Arial" w:hAnsi="Arial" w:cs="Arial"/>
          <w:b/>
          <w:lang w:val="fr-LU"/>
        </w:rPr>
        <w:t xml:space="preserve">bis – </w:t>
      </w:r>
      <w:r>
        <w:rPr>
          <w:rFonts w:ascii="Arial" w:hAnsi="Arial" w:cs="Arial"/>
          <w:b/>
          <w:i/>
          <w:lang w:val="fr-LU"/>
        </w:rPr>
        <w:t>Cession au FDL des seuls fonds</w:t>
      </w:r>
    </w:p>
    <w:p w:rsidR="003D0A3A" w:rsidRDefault="003D0A3A" w:rsidP="00DE20E9">
      <w:pPr>
        <w:pStyle w:val="ListParagraph"/>
        <w:numPr>
          <w:ilvl w:val="0"/>
          <w:numId w:val="5"/>
        </w:numPr>
        <w:spacing w:line="276" w:lineRule="auto"/>
        <w:ind w:left="1077" w:hanging="357"/>
        <w:contextualSpacing w:val="0"/>
        <w:jc w:val="both"/>
        <w:rPr>
          <w:rFonts w:ascii="Arial" w:hAnsi="Arial" w:cs="Arial"/>
          <w:b/>
          <w:i/>
          <w:lang w:val="fr-LU"/>
        </w:rPr>
      </w:pPr>
      <w:r>
        <w:rPr>
          <w:rFonts w:ascii="Arial" w:hAnsi="Arial" w:cs="Arial"/>
          <w:b/>
          <w:i/>
          <w:lang w:val="fr-LU"/>
        </w:rPr>
        <w:t>Convention 29</w:t>
      </w:r>
      <w:r>
        <w:rPr>
          <w:rFonts w:ascii="Arial" w:hAnsi="Arial" w:cs="Arial"/>
          <w:b/>
          <w:lang w:val="fr-LU"/>
        </w:rPr>
        <w:t>bis</w:t>
      </w:r>
      <w:r>
        <w:rPr>
          <w:rFonts w:ascii="Arial" w:hAnsi="Arial" w:cs="Arial"/>
          <w:b/>
          <w:i/>
          <w:lang w:val="fr-LU"/>
        </w:rPr>
        <w:t xml:space="preserve"> – Cession à la SNHBM des seuls fonds</w:t>
      </w:r>
    </w:p>
    <w:p w:rsidR="001A43F2" w:rsidRPr="001A43F2" w:rsidRDefault="00AC0BE4" w:rsidP="00D02B08">
      <w:pPr>
        <w:spacing w:line="276" w:lineRule="auto"/>
        <w:jc w:val="both"/>
        <w:rPr>
          <w:rFonts w:ascii="Arial" w:hAnsi="Arial" w:cs="Arial"/>
          <w:u w:val="single"/>
          <w:lang w:val="fr-LU"/>
        </w:rPr>
      </w:pPr>
      <w:r>
        <w:rPr>
          <w:rFonts w:ascii="Arial" w:hAnsi="Arial" w:cs="Arial"/>
          <w:u w:val="single"/>
          <w:lang w:val="fr-LU"/>
        </w:rPr>
        <w:br/>
      </w:r>
      <w:r w:rsidR="001A43F2">
        <w:rPr>
          <w:rFonts w:ascii="Arial" w:hAnsi="Arial" w:cs="Arial"/>
          <w:u w:val="single"/>
          <w:lang w:val="fr-LU"/>
        </w:rPr>
        <w:t>I</w:t>
      </w:r>
      <w:r w:rsidR="00D02B08">
        <w:rPr>
          <w:rFonts w:ascii="Arial" w:hAnsi="Arial" w:cs="Arial"/>
          <w:u w:val="single"/>
          <w:lang w:val="fr-LU"/>
        </w:rPr>
        <w:t>I</w:t>
      </w:r>
      <w:r w:rsidR="001A43F2">
        <w:rPr>
          <w:rFonts w:ascii="Arial" w:hAnsi="Arial" w:cs="Arial"/>
          <w:u w:val="single"/>
          <w:lang w:val="fr-LU"/>
        </w:rPr>
        <w:t xml:space="preserve">I.2. </w:t>
      </w:r>
      <w:r w:rsidR="001A43F2" w:rsidRPr="001A43F2">
        <w:rPr>
          <w:rFonts w:ascii="Arial" w:hAnsi="Arial" w:cs="Arial"/>
          <w:u w:val="single"/>
          <w:lang w:val="fr-LU"/>
        </w:rPr>
        <w:t>Cession des fonds et des logement</w:t>
      </w:r>
      <w:r w:rsidR="001A43F2">
        <w:rPr>
          <w:rFonts w:ascii="Arial" w:hAnsi="Arial" w:cs="Arial"/>
          <w:u w:val="single"/>
          <w:lang w:val="fr-LU"/>
        </w:rPr>
        <w:t>s</w:t>
      </w:r>
      <w:r w:rsidR="001A43F2" w:rsidRPr="001A43F2">
        <w:rPr>
          <w:rFonts w:ascii="Arial" w:hAnsi="Arial" w:cs="Arial"/>
          <w:u w:val="single"/>
          <w:lang w:val="fr-LU"/>
        </w:rPr>
        <w:t xml:space="preserve"> abordables</w:t>
      </w:r>
    </w:p>
    <w:p w:rsidR="008056C4" w:rsidRDefault="008056C4" w:rsidP="00D02B08">
      <w:pPr>
        <w:spacing w:line="276" w:lineRule="auto"/>
        <w:jc w:val="both"/>
        <w:rPr>
          <w:rFonts w:ascii="Arial" w:hAnsi="Arial" w:cs="Arial"/>
          <w:lang w:val="fr-LU"/>
        </w:rPr>
      </w:pPr>
      <w:r>
        <w:rPr>
          <w:rFonts w:ascii="Arial" w:hAnsi="Arial" w:cs="Arial"/>
          <w:lang w:val="fr-LU"/>
        </w:rPr>
        <w:t xml:space="preserve">Dans ce cas de figure, l’exécutant du PAP </w:t>
      </w:r>
      <w:r w:rsidR="003F4DEC">
        <w:rPr>
          <w:rFonts w:ascii="Arial" w:hAnsi="Arial" w:cs="Arial"/>
          <w:lang w:val="fr-LU"/>
        </w:rPr>
        <w:t xml:space="preserve">cède les fonds ensemble avec les logements abordables en voie de construction. </w:t>
      </w:r>
      <w:r>
        <w:rPr>
          <w:rFonts w:ascii="Arial" w:hAnsi="Arial" w:cs="Arial"/>
          <w:lang w:val="fr-LU"/>
        </w:rPr>
        <w:t xml:space="preserve"> </w:t>
      </w:r>
    </w:p>
    <w:p w:rsidR="004D6705" w:rsidRDefault="008056C4" w:rsidP="004D6705">
      <w:pPr>
        <w:spacing w:line="276" w:lineRule="auto"/>
        <w:jc w:val="both"/>
        <w:rPr>
          <w:rFonts w:ascii="Arial" w:hAnsi="Arial" w:cs="Arial"/>
          <w:lang w:val="fr-LU"/>
        </w:rPr>
      </w:pPr>
      <w:r>
        <w:rPr>
          <w:rFonts w:ascii="Arial" w:hAnsi="Arial" w:cs="Arial"/>
          <w:lang w:val="fr-LU"/>
        </w:rPr>
        <w:t xml:space="preserve">La loi prévoit qu’une convention doit être signée entre les acteurs afin de régler les modalités de cette cession. Cette convention prend la forme d’un compromis en vue d’une vente en état futur d’achèvement </w:t>
      </w:r>
      <w:r w:rsidRPr="001A43F2">
        <w:rPr>
          <w:rFonts w:ascii="Arial" w:hAnsi="Arial" w:cs="Arial"/>
          <w:lang w:val="fr-LU"/>
        </w:rPr>
        <w:t>ou, le cas échéant, d’une vente à terme, au sens des articles 1601-1 et suivants du Code civil.</w:t>
      </w:r>
      <w:r w:rsidR="004D6705" w:rsidRPr="004D6705">
        <w:rPr>
          <w:rFonts w:ascii="Arial" w:hAnsi="Arial" w:cs="Arial"/>
          <w:lang w:val="fr-LU"/>
        </w:rPr>
        <w:t xml:space="preserve"> </w:t>
      </w:r>
    </w:p>
    <w:p w:rsidR="004D6705" w:rsidRPr="001A43F2" w:rsidRDefault="004D6705" w:rsidP="004D6705">
      <w:pPr>
        <w:spacing w:line="276" w:lineRule="auto"/>
        <w:jc w:val="both"/>
        <w:rPr>
          <w:rFonts w:ascii="Arial" w:hAnsi="Arial" w:cs="Arial"/>
          <w:lang w:val="fr-LU"/>
        </w:rPr>
      </w:pPr>
      <w:r w:rsidRPr="001A43F2">
        <w:rPr>
          <w:rFonts w:ascii="Arial" w:hAnsi="Arial" w:cs="Arial"/>
          <w:lang w:val="fr-LU"/>
        </w:rPr>
        <w:lastRenderedPageBreak/>
        <w:t xml:space="preserve">Il est précisé dans ce contexte que la conclusion de la convention portant sur la cession des logements abordables </w:t>
      </w:r>
      <w:r>
        <w:rPr>
          <w:rFonts w:ascii="Arial" w:hAnsi="Arial" w:cs="Arial"/>
          <w:lang w:val="fr-LU"/>
        </w:rPr>
        <w:t xml:space="preserve">et des fonds </w:t>
      </w:r>
      <w:r w:rsidRPr="001A43F2">
        <w:rPr>
          <w:rFonts w:ascii="Arial" w:hAnsi="Arial" w:cs="Arial"/>
          <w:lang w:val="fr-LU"/>
        </w:rPr>
        <w:t>peut facultativement être intégrée dans la convention d’exécution prévue par l’article 36 de la loi ACDU, pour autant que la planification des logements abordables soit suffisamment avancée lors de la conclusion de la convention d’exécution.</w:t>
      </w:r>
    </w:p>
    <w:p w:rsidR="001A43F2" w:rsidRPr="001A43F2" w:rsidRDefault="004D6705" w:rsidP="00D02B08">
      <w:pPr>
        <w:spacing w:line="276" w:lineRule="auto"/>
        <w:jc w:val="both"/>
        <w:rPr>
          <w:rFonts w:ascii="Arial" w:hAnsi="Arial" w:cs="Arial"/>
          <w:lang w:val="fr-LU"/>
        </w:rPr>
      </w:pPr>
      <w:r>
        <w:rPr>
          <w:rFonts w:ascii="Arial" w:hAnsi="Arial" w:cs="Arial"/>
          <w:lang w:val="fr-LU"/>
        </w:rPr>
        <w:t>I</w:t>
      </w:r>
      <w:r w:rsidR="001A43F2" w:rsidRPr="001A43F2">
        <w:rPr>
          <w:rFonts w:ascii="Arial" w:hAnsi="Arial" w:cs="Arial"/>
          <w:lang w:val="fr-LU"/>
        </w:rPr>
        <w:t xml:space="preserve">l est rappelé qu’à défaut d’accord des parties au sujet du prix de cession des logements abordables, la loi ACDU </w:t>
      </w:r>
      <w:r w:rsidR="00187165">
        <w:rPr>
          <w:rFonts w:ascii="Arial" w:hAnsi="Arial" w:cs="Arial"/>
          <w:lang w:val="fr-LU"/>
        </w:rPr>
        <w:t>prévoit en son article 29</w:t>
      </w:r>
      <w:r w:rsidR="00187165" w:rsidRPr="00187165">
        <w:rPr>
          <w:rFonts w:ascii="Arial" w:hAnsi="Arial" w:cs="Arial"/>
          <w:i/>
          <w:lang w:val="fr-LU"/>
        </w:rPr>
        <w:t>bis</w:t>
      </w:r>
      <w:r w:rsidR="00187165">
        <w:rPr>
          <w:rFonts w:ascii="Arial" w:hAnsi="Arial" w:cs="Arial"/>
          <w:lang w:val="fr-LU"/>
        </w:rPr>
        <w:t>, paragraphe 6</w:t>
      </w:r>
      <w:r w:rsidR="001A43F2" w:rsidRPr="001A43F2">
        <w:rPr>
          <w:rFonts w:ascii="Arial" w:hAnsi="Arial" w:cs="Arial"/>
          <w:lang w:val="fr-LU"/>
        </w:rPr>
        <w:t xml:space="preserve">, alinéas 3 et 4, une procédure de nomination d’un expert impartial par le biais du président du tribunal d’arrondissement du lieu des fonds concernés. </w:t>
      </w:r>
    </w:p>
    <w:p w:rsidR="001A43F2" w:rsidRPr="001A43F2" w:rsidRDefault="001A43F2" w:rsidP="00D02B08">
      <w:pPr>
        <w:spacing w:line="276" w:lineRule="auto"/>
        <w:jc w:val="both"/>
        <w:rPr>
          <w:rFonts w:ascii="Arial" w:hAnsi="Arial" w:cs="Arial"/>
          <w:lang w:val="fr-LU"/>
        </w:rPr>
      </w:pPr>
      <w:r w:rsidRPr="001A43F2">
        <w:rPr>
          <w:rFonts w:ascii="Arial" w:hAnsi="Arial" w:cs="Arial"/>
          <w:lang w:val="fr-LU"/>
        </w:rPr>
        <w:t xml:space="preserve">Il est également rappelé que la </w:t>
      </w:r>
      <w:r w:rsidR="008056C4">
        <w:rPr>
          <w:rFonts w:ascii="Arial" w:hAnsi="Arial" w:cs="Arial"/>
          <w:lang w:val="fr-LU"/>
        </w:rPr>
        <w:t>convention</w:t>
      </w:r>
      <w:r w:rsidRPr="001A43F2">
        <w:rPr>
          <w:rFonts w:ascii="Arial" w:hAnsi="Arial" w:cs="Arial"/>
          <w:lang w:val="fr-LU"/>
        </w:rPr>
        <w:t xml:space="preserve"> </w:t>
      </w:r>
      <w:r w:rsidR="004D6705">
        <w:rPr>
          <w:rFonts w:ascii="Arial" w:hAnsi="Arial" w:cs="Arial"/>
          <w:lang w:val="fr-LU"/>
        </w:rPr>
        <w:t xml:space="preserve">doit </w:t>
      </w:r>
      <w:r w:rsidRPr="001A43F2">
        <w:rPr>
          <w:rFonts w:ascii="Arial" w:hAnsi="Arial" w:cs="Arial"/>
          <w:lang w:val="fr-LU"/>
        </w:rPr>
        <w:t xml:space="preserve">obligatoirement avoir fait l’objet d’une approbation ministérielle avant qu’une autorisation de construire portant sur </w:t>
      </w:r>
      <w:r w:rsidR="004D6705">
        <w:rPr>
          <w:rFonts w:ascii="Arial" w:hAnsi="Arial" w:cs="Arial"/>
          <w:lang w:val="fr-LU"/>
        </w:rPr>
        <w:t>un quelconque logement prévu</w:t>
      </w:r>
      <w:r w:rsidRPr="001A43F2">
        <w:rPr>
          <w:rFonts w:ascii="Arial" w:hAnsi="Arial" w:cs="Arial"/>
          <w:lang w:val="fr-LU"/>
        </w:rPr>
        <w:t xml:space="preserve"> par le PAP </w:t>
      </w:r>
      <w:r w:rsidR="004D6705">
        <w:rPr>
          <w:rFonts w:ascii="Arial" w:hAnsi="Arial" w:cs="Arial"/>
          <w:lang w:val="fr-LU"/>
        </w:rPr>
        <w:t xml:space="preserve">NQ </w:t>
      </w:r>
      <w:r w:rsidRPr="001A43F2">
        <w:rPr>
          <w:rFonts w:ascii="Arial" w:hAnsi="Arial" w:cs="Arial"/>
          <w:lang w:val="fr-LU"/>
        </w:rPr>
        <w:t>ne puisse être délivrée, conformément à l’article 29</w:t>
      </w:r>
      <w:r w:rsidRPr="00187165">
        <w:rPr>
          <w:rFonts w:ascii="Arial" w:hAnsi="Arial" w:cs="Arial"/>
          <w:i/>
          <w:lang w:val="fr-LU"/>
        </w:rPr>
        <w:t>bis</w:t>
      </w:r>
      <w:r w:rsidR="004D6705">
        <w:rPr>
          <w:rFonts w:ascii="Arial" w:hAnsi="Arial" w:cs="Arial"/>
          <w:lang w:val="fr-LU"/>
        </w:rPr>
        <w:t>, paragraphe 8</w:t>
      </w:r>
      <w:r w:rsidRPr="001A43F2">
        <w:rPr>
          <w:rFonts w:ascii="Arial" w:hAnsi="Arial" w:cs="Arial"/>
          <w:lang w:val="fr-LU"/>
        </w:rPr>
        <w:t xml:space="preserve">. </w:t>
      </w:r>
    </w:p>
    <w:p w:rsidR="001A43F2" w:rsidRPr="001A43F2" w:rsidRDefault="001A43F2" w:rsidP="00D02B08">
      <w:pPr>
        <w:spacing w:line="276" w:lineRule="auto"/>
        <w:jc w:val="both"/>
        <w:rPr>
          <w:rFonts w:ascii="Arial" w:hAnsi="Arial" w:cs="Arial"/>
          <w:lang w:val="fr-LU"/>
        </w:rPr>
      </w:pPr>
      <w:r w:rsidRPr="001A43F2">
        <w:rPr>
          <w:rFonts w:ascii="Arial" w:hAnsi="Arial" w:cs="Arial"/>
          <w:lang w:val="fr-LU"/>
        </w:rPr>
        <w:t>L’obtention de l’autorisation de construire permet de franchir ensuite la prochaine étape, consistant en la conclusion de l’acte notarié opérant la cess</w:t>
      </w:r>
      <w:r w:rsidR="00293C10">
        <w:rPr>
          <w:rFonts w:ascii="Arial" w:hAnsi="Arial" w:cs="Arial"/>
          <w:lang w:val="fr-LU"/>
        </w:rPr>
        <w:t xml:space="preserve">ion des fonds et des logements, étant </w:t>
      </w:r>
      <w:r w:rsidR="004A3B81">
        <w:rPr>
          <w:rFonts w:ascii="Arial" w:hAnsi="Arial" w:cs="Arial"/>
          <w:lang w:val="fr-LU"/>
        </w:rPr>
        <w:t xml:space="preserve">rappelé </w:t>
      </w:r>
      <w:r w:rsidR="00293C10">
        <w:rPr>
          <w:rFonts w:ascii="Arial" w:hAnsi="Arial" w:cs="Arial"/>
          <w:lang w:val="fr-LU"/>
        </w:rPr>
        <w:t xml:space="preserve">qu’en vertu de l’article </w:t>
      </w:r>
      <w:r w:rsidR="00C84914">
        <w:rPr>
          <w:rFonts w:ascii="Arial" w:hAnsi="Arial" w:cs="Arial"/>
          <w:lang w:val="fr-LU"/>
        </w:rPr>
        <w:t xml:space="preserve">1601-5 du Code civil, aucun </w:t>
      </w:r>
      <w:r w:rsidR="004A3B81">
        <w:rPr>
          <w:rFonts w:ascii="Arial" w:hAnsi="Arial" w:cs="Arial"/>
          <w:lang w:val="fr-LU"/>
        </w:rPr>
        <w:t xml:space="preserve">acte notarié portant une vente en état futur d’achèvement ou une vente à terme </w:t>
      </w:r>
      <w:r w:rsidR="00293C10">
        <w:rPr>
          <w:rFonts w:ascii="Arial" w:hAnsi="Arial" w:cs="Arial"/>
          <w:lang w:val="fr-LU"/>
        </w:rPr>
        <w:t>ne peut être conclu à défaut d’autorisation de construire</w:t>
      </w:r>
      <w:r w:rsidR="004A3B81">
        <w:rPr>
          <w:rFonts w:ascii="Arial" w:hAnsi="Arial" w:cs="Arial"/>
          <w:lang w:val="fr-LU"/>
        </w:rPr>
        <w:t>.</w:t>
      </w:r>
      <w:bookmarkStart w:id="0" w:name="_GoBack"/>
      <w:bookmarkEnd w:id="0"/>
    </w:p>
    <w:p w:rsidR="001A43F2" w:rsidRDefault="004D6705" w:rsidP="00D02B08">
      <w:pPr>
        <w:spacing w:line="276" w:lineRule="auto"/>
        <w:jc w:val="both"/>
        <w:rPr>
          <w:rFonts w:ascii="Arial" w:hAnsi="Arial" w:cs="Arial"/>
          <w:lang w:val="fr-LU"/>
        </w:rPr>
      </w:pPr>
      <w:r>
        <w:rPr>
          <w:rFonts w:ascii="Arial" w:hAnsi="Arial" w:cs="Arial"/>
          <w:lang w:val="fr-LU"/>
        </w:rPr>
        <w:t xml:space="preserve">Il est encore </w:t>
      </w:r>
      <w:r w:rsidR="001A43F2" w:rsidRPr="001A43F2">
        <w:rPr>
          <w:rFonts w:ascii="Arial" w:hAnsi="Arial" w:cs="Arial"/>
          <w:lang w:val="fr-LU"/>
        </w:rPr>
        <w:t xml:space="preserve">relevé que les aides à la pierre susceptibles d’être versées par le ministère du Logement en faveur du projet sont liées aux respect d’un certain nombre de conditions. Ces conditions font l’objet d’un cahier des charges ainsi que d’une note descriptive mis à disposition par le ministère du Logement, dont il y a lieu de tenir compte lors de la planification du projet afin que celui-ci soit </w:t>
      </w:r>
      <w:proofErr w:type="spellStart"/>
      <w:r w:rsidR="001A43F2" w:rsidRPr="001A43F2">
        <w:rPr>
          <w:rFonts w:ascii="Arial" w:hAnsi="Arial" w:cs="Arial"/>
          <w:lang w:val="fr-LU"/>
        </w:rPr>
        <w:t>subventionnable</w:t>
      </w:r>
      <w:proofErr w:type="spellEnd"/>
      <w:r w:rsidR="001A43F2" w:rsidRPr="001A43F2">
        <w:rPr>
          <w:rFonts w:ascii="Arial" w:hAnsi="Arial" w:cs="Arial"/>
          <w:lang w:val="fr-LU"/>
        </w:rPr>
        <w:t>.</w:t>
      </w:r>
    </w:p>
    <w:p w:rsidR="004D6705" w:rsidRDefault="004D6705" w:rsidP="004D6705">
      <w:pPr>
        <w:spacing w:line="276" w:lineRule="auto"/>
        <w:jc w:val="both"/>
        <w:rPr>
          <w:rFonts w:ascii="Arial" w:hAnsi="Arial" w:cs="Arial"/>
          <w:lang w:val="fr-LU"/>
        </w:rPr>
      </w:pPr>
      <w:r>
        <w:rPr>
          <w:rFonts w:ascii="Arial" w:hAnsi="Arial" w:cs="Arial"/>
          <w:lang w:val="fr-LU"/>
        </w:rPr>
        <w:t xml:space="preserve">Les modèles pour les conventions portant sur la cession des logements abordables et des fonds figurent sous les liens suivants : </w:t>
      </w:r>
    </w:p>
    <w:p w:rsidR="00E96C13" w:rsidRDefault="00E96C13" w:rsidP="00DE20E9">
      <w:pPr>
        <w:pStyle w:val="ListParagraph"/>
        <w:numPr>
          <w:ilvl w:val="0"/>
          <w:numId w:val="5"/>
        </w:numPr>
        <w:spacing w:line="276" w:lineRule="auto"/>
        <w:ind w:left="1077" w:hanging="357"/>
        <w:contextualSpacing w:val="0"/>
        <w:jc w:val="both"/>
        <w:rPr>
          <w:rFonts w:ascii="Arial" w:hAnsi="Arial" w:cs="Arial"/>
          <w:b/>
          <w:i/>
          <w:lang w:val="fr-LU"/>
        </w:rPr>
      </w:pPr>
      <w:r>
        <w:rPr>
          <w:rFonts w:ascii="Arial" w:hAnsi="Arial" w:cs="Arial"/>
          <w:b/>
          <w:i/>
          <w:lang w:val="fr-LU"/>
        </w:rPr>
        <w:t>Convention 29</w:t>
      </w:r>
      <w:r>
        <w:rPr>
          <w:rFonts w:ascii="Arial" w:hAnsi="Arial" w:cs="Arial"/>
          <w:b/>
          <w:lang w:val="fr-LU"/>
        </w:rPr>
        <w:t xml:space="preserve">bis </w:t>
      </w:r>
      <w:r>
        <w:rPr>
          <w:rFonts w:ascii="Arial" w:hAnsi="Arial" w:cs="Arial"/>
          <w:b/>
          <w:i/>
          <w:lang w:val="fr-LU"/>
        </w:rPr>
        <w:t>– Cession à la commune des logements abordables et des fonds</w:t>
      </w:r>
    </w:p>
    <w:p w:rsidR="00E96C13" w:rsidRPr="00815B92" w:rsidRDefault="00E96C13" w:rsidP="00DE20E9">
      <w:pPr>
        <w:pStyle w:val="ListParagraph"/>
        <w:numPr>
          <w:ilvl w:val="0"/>
          <w:numId w:val="5"/>
        </w:numPr>
        <w:spacing w:line="276" w:lineRule="auto"/>
        <w:ind w:left="1077" w:hanging="357"/>
        <w:contextualSpacing w:val="0"/>
        <w:jc w:val="both"/>
        <w:rPr>
          <w:rFonts w:ascii="Arial" w:hAnsi="Arial" w:cs="Arial"/>
          <w:b/>
          <w:i/>
          <w:lang w:val="fr-LU"/>
        </w:rPr>
      </w:pPr>
      <w:r>
        <w:rPr>
          <w:rFonts w:ascii="Arial" w:hAnsi="Arial" w:cs="Arial"/>
          <w:b/>
          <w:i/>
          <w:lang w:val="fr-LU"/>
        </w:rPr>
        <w:t>Convention 29</w:t>
      </w:r>
      <w:r>
        <w:rPr>
          <w:rFonts w:ascii="Arial" w:hAnsi="Arial" w:cs="Arial"/>
          <w:b/>
          <w:lang w:val="fr-LU"/>
        </w:rPr>
        <w:t xml:space="preserve">bis – </w:t>
      </w:r>
      <w:r>
        <w:rPr>
          <w:rFonts w:ascii="Arial" w:hAnsi="Arial" w:cs="Arial"/>
          <w:b/>
          <w:i/>
          <w:lang w:val="fr-LU"/>
        </w:rPr>
        <w:t>Cession au FDL des logements abordables et des fonds</w:t>
      </w:r>
    </w:p>
    <w:p w:rsidR="00E96C13" w:rsidRDefault="00E96C13" w:rsidP="00DE20E9">
      <w:pPr>
        <w:pStyle w:val="ListParagraph"/>
        <w:numPr>
          <w:ilvl w:val="0"/>
          <w:numId w:val="5"/>
        </w:numPr>
        <w:spacing w:line="276" w:lineRule="auto"/>
        <w:ind w:left="1077" w:hanging="357"/>
        <w:contextualSpacing w:val="0"/>
        <w:jc w:val="both"/>
        <w:rPr>
          <w:rFonts w:ascii="Arial" w:hAnsi="Arial" w:cs="Arial"/>
          <w:b/>
          <w:i/>
          <w:lang w:val="fr-LU"/>
        </w:rPr>
      </w:pPr>
      <w:r>
        <w:rPr>
          <w:rFonts w:ascii="Arial" w:hAnsi="Arial" w:cs="Arial"/>
          <w:b/>
          <w:i/>
          <w:lang w:val="fr-LU"/>
        </w:rPr>
        <w:t>Convention 29</w:t>
      </w:r>
      <w:r>
        <w:rPr>
          <w:rFonts w:ascii="Arial" w:hAnsi="Arial" w:cs="Arial"/>
          <w:b/>
          <w:lang w:val="fr-LU"/>
        </w:rPr>
        <w:t>bis</w:t>
      </w:r>
      <w:r>
        <w:rPr>
          <w:rFonts w:ascii="Arial" w:hAnsi="Arial" w:cs="Arial"/>
          <w:b/>
          <w:i/>
          <w:lang w:val="fr-LU"/>
        </w:rPr>
        <w:t xml:space="preserve"> – Cession à la SNHBM des logements abordables et des fonds</w:t>
      </w:r>
    </w:p>
    <w:p w:rsidR="00B70C94" w:rsidRPr="006F08B1" w:rsidRDefault="004D6705" w:rsidP="00D02B08">
      <w:pPr>
        <w:spacing w:line="276" w:lineRule="auto"/>
        <w:jc w:val="both"/>
        <w:rPr>
          <w:rFonts w:ascii="Arial" w:hAnsi="Arial" w:cs="Arial"/>
          <w:lang w:val="fr-LU"/>
        </w:rPr>
      </w:pPr>
      <w:r>
        <w:rPr>
          <w:rFonts w:ascii="Arial" w:hAnsi="Arial" w:cs="Arial"/>
          <w:lang w:val="fr-LU"/>
        </w:rPr>
        <w:t>Finalement, d</w:t>
      </w:r>
      <w:r w:rsidR="008056C4">
        <w:rPr>
          <w:rFonts w:ascii="Arial" w:hAnsi="Arial" w:cs="Arial"/>
          <w:lang w:val="fr-LU"/>
        </w:rPr>
        <w:t>e manière générale, i</w:t>
      </w:r>
      <w:r w:rsidR="00B70C94" w:rsidRPr="006F08B1">
        <w:rPr>
          <w:rFonts w:ascii="Arial" w:hAnsi="Arial" w:cs="Arial"/>
          <w:lang w:val="fr-LU"/>
        </w:rPr>
        <w:t>l est souligné que les conventions-types proposées ne constituent qu’un modèle nécessitant, le cas échéant, des adaptations au cas par cas.</w:t>
      </w:r>
    </w:p>
    <w:p w:rsidR="001A43F2" w:rsidRDefault="001A43F2" w:rsidP="00D02B08">
      <w:pPr>
        <w:spacing w:line="276" w:lineRule="auto"/>
        <w:jc w:val="both"/>
        <w:rPr>
          <w:rFonts w:ascii="Arial" w:hAnsi="Arial" w:cs="Arial"/>
          <w:lang w:val="fr-LU"/>
        </w:rPr>
      </w:pPr>
    </w:p>
    <w:sectPr w:rsidR="001A43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8D" w:rsidRDefault="00AD4B8D" w:rsidP="00961986">
      <w:pPr>
        <w:spacing w:after="0" w:line="240" w:lineRule="auto"/>
      </w:pPr>
      <w:r>
        <w:separator/>
      </w:r>
    </w:p>
  </w:endnote>
  <w:endnote w:type="continuationSeparator" w:id="0">
    <w:p w:rsidR="00AD4B8D" w:rsidRDefault="00AD4B8D" w:rsidP="0096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863829"/>
      <w:docPartObj>
        <w:docPartGallery w:val="Page Numbers (Bottom of Page)"/>
        <w:docPartUnique/>
      </w:docPartObj>
    </w:sdtPr>
    <w:sdtEndPr>
      <w:rPr>
        <w:noProof/>
      </w:rPr>
    </w:sdtEndPr>
    <w:sdtContent>
      <w:p w:rsidR="00961986" w:rsidRDefault="00961986">
        <w:pPr>
          <w:pStyle w:val="Footer"/>
          <w:jc w:val="right"/>
        </w:pPr>
        <w:r>
          <w:fldChar w:fldCharType="begin"/>
        </w:r>
        <w:r>
          <w:instrText xml:space="preserve"> PAGE   \* MERGEFORMAT </w:instrText>
        </w:r>
        <w:r>
          <w:fldChar w:fldCharType="separate"/>
        </w:r>
        <w:r w:rsidR="004A3B81">
          <w:rPr>
            <w:noProof/>
          </w:rPr>
          <w:t>2</w:t>
        </w:r>
        <w:r>
          <w:rPr>
            <w:noProof/>
          </w:rPr>
          <w:fldChar w:fldCharType="end"/>
        </w:r>
      </w:p>
    </w:sdtContent>
  </w:sdt>
  <w:p w:rsidR="00961986" w:rsidRDefault="00961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8D" w:rsidRDefault="00AD4B8D" w:rsidP="00961986">
      <w:pPr>
        <w:spacing w:after="0" w:line="240" w:lineRule="auto"/>
      </w:pPr>
      <w:r>
        <w:separator/>
      </w:r>
    </w:p>
  </w:footnote>
  <w:footnote w:type="continuationSeparator" w:id="0">
    <w:p w:rsidR="00AD4B8D" w:rsidRDefault="00AD4B8D" w:rsidP="0096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2A9"/>
    <w:multiLevelType w:val="hybridMultilevel"/>
    <w:tmpl w:val="E5580B8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6E66"/>
    <w:multiLevelType w:val="hybridMultilevel"/>
    <w:tmpl w:val="15F84A4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2C3937"/>
    <w:multiLevelType w:val="hybridMultilevel"/>
    <w:tmpl w:val="07EC5C8E"/>
    <w:lvl w:ilvl="0" w:tplc="04090009">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 w15:restartNumberingAfterBreak="0">
    <w:nsid w:val="39A05BAA"/>
    <w:multiLevelType w:val="hybridMultilevel"/>
    <w:tmpl w:val="C596BE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6778BD"/>
    <w:multiLevelType w:val="hybridMultilevel"/>
    <w:tmpl w:val="6B7A99D4"/>
    <w:lvl w:ilvl="0" w:tplc="0409000F">
      <w:start w:val="1"/>
      <w:numFmt w:val="decimal"/>
      <w:lvlText w:val="%1."/>
      <w:lvlJc w:val="left"/>
      <w:pPr>
        <w:ind w:left="788" w:hanging="360"/>
      </w:pPr>
      <w:rPr>
        <w:rFont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F2"/>
    <w:rsid w:val="001177DD"/>
    <w:rsid w:val="00127453"/>
    <w:rsid w:val="00187165"/>
    <w:rsid w:val="001A43F2"/>
    <w:rsid w:val="00282278"/>
    <w:rsid w:val="00293C10"/>
    <w:rsid w:val="002B4CDE"/>
    <w:rsid w:val="003D0A3A"/>
    <w:rsid w:val="003F4DEC"/>
    <w:rsid w:val="0041491C"/>
    <w:rsid w:val="004A3B81"/>
    <w:rsid w:val="004C7BA6"/>
    <w:rsid w:val="004D6705"/>
    <w:rsid w:val="0059763F"/>
    <w:rsid w:val="005B2977"/>
    <w:rsid w:val="005D77D6"/>
    <w:rsid w:val="00785F79"/>
    <w:rsid w:val="007F1059"/>
    <w:rsid w:val="008056C4"/>
    <w:rsid w:val="00815B92"/>
    <w:rsid w:val="00822F6C"/>
    <w:rsid w:val="008928D3"/>
    <w:rsid w:val="00961986"/>
    <w:rsid w:val="009E6683"/>
    <w:rsid w:val="00A23CCA"/>
    <w:rsid w:val="00A46F0A"/>
    <w:rsid w:val="00AC0BE4"/>
    <w:rsid w:val="00AD4B8D"/>
    <w:rsid w:val="00B70C94"/>
    <w:rsid w:val="00C84914"/>
    <w:rsid w:val="00D02B08"/>
    <w:rsid w:val="00D21EEE"/>
    <w:rsid w:val="00DD56C3"/>
    <w:rsid w:val="00DE20E9"/>
    <w:rsid w:val="00DF2934"/>
    <w:rsid w:val="00E35C5B"/>
    <w:rsid w:val="00E5645A"/>
    <w:rsid w:val="00E96C13"/>
    <w:rsid w:val="00ED5335"/>
    <w:rsid w:val="00F367F1"/>
    <w:rsid w:val="00F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C7AF"/>
  <w15:chartTrackingRefBased/>
  <w15:docId w15:val="{F3C7AA07-97D4-4D53-A895-61391BC7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3F2"/>
    <w:pPr>
      <w:ind w:left="720"/>
      <w:contextualSpacing/>
    </w:pPr>
  </w:style>
  <w:style w:type="paragraph" w:styleId="Header">
    <w:name w:val="header"/>
    <w:basedOn w:val="Normal"/>
    <w:link w:val="HeaderChar"/>
    <w:uiPriority w:val="99"/>
    <w:unhideWhenUsed/>
    <w:rsid w:val="00961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86"/>
  </w:style>
  <w:style w:type="paragraph" w:styleId="Footer">
    <w:name w:val="footer"/>
    <w:basedOn w:val="Normal"/>
    <w:link w:val="FooterChar"/>
    <w:uiPriority w:val="99"/>
    <w:unhideWhenUsed/>
    <w:rsid w:val="00961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86"/>
  </w:style>
  <w:style w:type="paragraph" w:styleId="BalloonText">
    <w:name w:val="Balloon Text"/>
    <w:basedOn w:val="Normal"/>
    <w:link w:val="BalloonTextChar"/>
    <w:uiPriority w:val="99"/>
    <w:semiHidden/>
    <w:unhideWhenUsed/>
    <w:rsid w:val="00A4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32</cp:revision>
  <cp:lastPrinted>2023-01-03T15:03:00Z</cp:lastPrinted>
  <dcterms:created xsi:type="dcterms:W3CDTF">2023-01-03T12:26:00Z</dcterms:created>
  <dcterms:modified xsi:type="dcterms:W3CDTF">2024-01-22T09:59:00Z</dcterms:modified>
</cp:coreProperties>
</file>