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569E" w14:textId="77777777" w:rsidR="00B8283A" w:rsidRPr="001274FA" w:rsidRDefault="00B8283A" w:rsidP="009E0337">
      <w:pPr>
        <w:jc w:val="both"/>
        <w:rPr>
          <w:rFonts w:ascii="Arial" w:hAnsi="Arial" w:cs="Arial"/>
          <w:b/>
          <w:sz w:val="20"/>
          <w:szCs w:val="20"/>
        </w:rPr>
      </w:pPr>
      <w:r w:rsidRPr="001274FA">
        <w:rPr>
          <w:rFonts w:ascii="Arial" w:hAnsi="Arial" w:cs="Arial"/>
          <w:b/>
          <w:sz w:val="20"/>
          <w:szCs w:val="20"/>
        </w:rPr>
        <w:t>Article X</w:t>
      </w:r>
      <w:r w:rsidR="009E0337" w:rsidRPr="001274FA">
        <w:rPr>
          <w:rFonts w:ascii="Arial" w:hAnsi="Arial" w:cs="Arial"/>
          <w:b/>
          <w:sz w:val="20"/>
          <w:szCs w:val="20"/>
        </w:rPr>
        <w:t>Y</w:t>
      </w:r>
      <w:r w:rsidRPr="001274FA">
        <w:rPr>
          <w:rFonts w:ascii="Arial" w:hAnsi="Arial" w:cs="Arial"/>
          <w:b/>
          <w:sz w:val="20"/>
          <w:szCs w:val="20"/>
        </w:rPr>
        <w:t xml:space="preserve"> : Logements abordables </w:t>
      </w:r>
    </w:p>
    <w:p w14:paraId="221971B9" w14:textId="5C01F0BA" w:rsidR="00B75A5C" w:rsidRPr="001274FA" w:rsidRDefault="00B8283A" w:rsidP="005375C1">
      <w:pPr>
        <w:jc w:val="both"/>
        <w:rPr>
          <w:rFonts w:ascii="Arial" w:hAnsi="Arial" w:cs="Arial"/>
          <w:sz w:val="20"/>
          <w:szCs w:val="20"/>
        </w:rPr>
      </w:pPr>
      <w:r w:rsidRPr="001274FA">
        <w:rPr>
          <w:rFonts w:ascii="Arial" w:hAnsi="Arial" w:cs="Arial"/>
          <w:sz w:val="20"/>
          <w:szCs w:val="20"/>
        </w:rPr>
        <w:t>Conformément à l’article 29</w:t>
      </w:r>
      <w:r w:rsidRPr="001274FA">
        <w:rPr>
          <w:rFonts w:ascii="Arial" w:hAnsi="Arial" w:cs="Arial"/>
          <w:i/>
          <w:sz w:val="20"/>
          <w:szCs w:val="20"/>
        </w:rPr>
        <w:t>bis</w:t>
      </w:r>
      <w:r w:rsidRPr="001274FA">
        <w:rPr>
          <w:rFonts w:ascii="Arial" w:hAnsi="Arial" w:cs="Arial"/>
          <w:sz w:val="20"/>
          <w:szCs w:val="20"/>
        </w:rPr>
        <w:t xml:space="preserve"> de la loi modifiée du 19 juillet 2004 concernant l’aménagement communal et le développement urbain, le tableau ci-dessous renseigne pour chaque lot </w:t>
      </w:r>
      <w:r w:rsidR="00183ED3" w:rsidRPr="001274FA">
        <w:rPr>
          <w:rFonts w:ascii="Arial" w:hAnsi="Arial" w:cs="Arial"/>
          <w:sz w:val="20"/>
          <w:szCs w:val="20"/>
        </w:rPr>
        <w:t>le nombre d’unités</w:t>
      </w:r>
      <w:r w:rsidRPr="001274FA">
        <w:rPr>
          <w:rFonts w:ascii="Arial" w:hAnsi="Arial" w:cs="Arial"/>
          <w:sz w:val="20"/>
          <w:szCs w:val="20"/>
        </w:rPr>
        <w:t xml:space="preserve"> réserv</w:t>
      </w:r>
      <w:r w:rsidR="00B75A5C" w:rsidRPr="001274FA">
        <w:rPr>
          <w:rFonts w:ascii="Arial" w:hAnsi="Arial" w:cs="Arial"/>
          <w:sz w:val="20"/>
          <w:szCs w:val="20"/>
        </w:rPr>
        <w:t>é</w:t>
      </w:r>
      <w:r w:rsidRPr="001274FA">
        <w:rPr>
          <w:rFonts w:ascii="Arial" w:hAnsi="Arial" w:cs="Arial"/>
          <w:sz w:val="20"/>
          <w:szCs w:val="20"/>
        </w:rPr>
        <w:t xml:space="preserve"> aux logements </w:t>
      </w:r>
      <w:r w:rsidR="00722748">
        <w:rPr>
          <w:rFonts w:ascii="Arial" w:hAnsi="Arial" w:cs="Arial"/>
          <w:sz w:val="20"/>
          <w:szCs w:val="20"/>
        </w:rPr>
        <w:t>du marché libre</w:t>
      </w:r>
      <w:r w:rsidR="00B75A5C" w:rsidRPr="001274FA">
        <w:rPr>
          <w:rFonts w:ascii="Arial" w:hAnsi="Arial" w:cs="Arial"/>
          <w:sz w:val="20"/>
          <w:szCs w:val="20"/>
        </w:rPr>
        <w:t xml:space="preserve"> et aux logements abordables</w:t>
      </w:r>
      <w:r w:rsidR="00E06EE5" w:rsidRPr="001274FA">
        <w:rPr>
          <w:rFonts w:ascii="Arial" w:hAnsi="Arial" w:cs="Arial"/>
          <w:sz w:val="20"/>
          <w:szCs w:val="20"/>
        </w:rPr>
        <w:t>. Il renseigne également</w:t>
      </w:r>
      <w:r w:rsidR="00183ED3" w:rsidRPr="001274FA">
        <w:rPr>
          <w:rFonts w:ascii="Arial" w:hAnsi="Arial" w:cs="Arial"/>
          <w:sz w:val="20"/>
          <w:szCs w:val="20"/>
        </w:rPr>
        <w:t xml:space="preserve"> la surface construite brute qui sera réservée exclusivement au logement et ne saura connaitre une affectation autre</w:t>
      </w:r>
      <w:r w:rsidR="00B75A5C" w:rsidRPr="001274FA">
        <w:rPr>
          <w:rFonts w:ascii="Arial" w:hAnsi="Arial" w:cs="Arial"/>
          <w:sz w:val="20"/>
          <w:szCs w:val="20"/>
        </w:rPr>
        <w:t xml:space="preserve"> ainsi que la surface construite brute minimale réservée aux logements abordables</w:t>
      </w:r>
      <w:r w:rsidR="00E06EE5" w:rsidRPr="001274FA">
        <w:rPr>
          <w:rFonts w:ascii="Arial" w:hAnsi="Arial" w:cs="Arial"/>
          <w:sz w:val="20"/>
          <w:szCs w:val="20"/>
        </w:rPr>
        <w:t>.</w:t>
      </w:r>
      <w:r w:rsidR="005375C1" w:rsidRPr="001274FA">
        <w:rPr>
          <w:rFonts w:ascii="Arial" w:hAnsi="Arial" w:cs="Arial"/>
          <w:sz w:val="20"/>
          <w:szCs w:val="20"/>
        </w:rPr>
        <w:t xml:space="preserve"> </w:t>
      </w:r>
    </w:p>
    <w:p w14:paraId="59ECFC8B" w14:textId="6B8F7417" w:rsidR="00C33B5B" w:rsidRPr="001274FA" w:rsidRDefault="00C33B5B" w:rsidP="005375C1">
      <w:pPr>
        <w:jc w:val="both"/>
        <w:rPr>
          <w:rFonts w:ascii="Arial" w:hAnsi="Arial" w:cs="Arial"/>
          <w:sz w:val="20"/>
          <w:szCs w:val="20"/>
        </w:rPr>
      </w:pPr>
      <w:r w:rsidRPr="001274FA">
        <w:rPr>
          <w:rFonts w:ascii="Arial" w:hAnsi="Arial" w:cs="Arial"/>
          <w:sz w:val="20"/>
          <w:szCs w:val="20"/>
        </w:rPr>
        <w:t xml:space="preserve">Lors de l’exécution du plan d’aménagement particulier, tout logement </w:t>
      </w:r>
      <w:r w:rsidR="00B16D59">
        <w:rPr>
          <w:rFonts w:ascii="Arial" w:hAnsi="Arial" w:cs="Arial"/>
          <w:sz w:val="20"/>
          <w:szCs w:val="20"/>
        </w:rPr>
        <w:t>du marché libre</w:t>
      </w:r>
      <w:r w:rsidR="002C5D25" w:rsidRPr="001274FA">
        <w:rPr>
          <w:rFonts w:ascii="Arial" w:hAnsi="Arial" w:cs="Arial"/>
          <w:sz w:val="20"/>
          <w:szCs w:val="20"/>
        </w:rPr>
        <w:t>, tel que renseigné dans le tableau ci-dessous,</w:t>
      </w:r>
      <w:r w:rsidRPr="001274FA">
        <w:rPr>
          <w:rFonts w:ascii="Arial" w:hAnsi="Arial" w:cs="Arial"/>
          <w:sz w:val="20"/>
          <w:szCs w:val="20"/>
        </w:rPr>
        <w:t xml:space="preserve"> peut également </w:t>
      </w:r>
      <w:r w:rsidR="002C5D25" w:rsidRPr="001274FA">
        <w:rPr>
          <w:rFonts w:ascii="Arial" w:hAnsi="Arial" w:cs="Arial"/>
          <w:sz w:val="20"/>
          <w:szCs w:val="20"/>
        </w:rPr>
        <w:t xml:space="preserve">être réalisé en tant que logement abordable, conformément à </w:t>
      </w:r>
      <w:r w:rsidR="00F6238C" w:rsidRPr="001274FA">
        <w:rPr>
          <w:rFonts w:ascii="Arial" w:hAnsi="Arial" w:cs="Arial"/>
          <w:sz w:val="20"/>
          <w:szCs w:val="20"/>
        </w:rPr>
        <w:t>l’alinéa 1</w:t>
      </w:r>
      <w:r w:rsidR="00F6238C" w:rsidRPr="001274FA">
        <w:rPr>
          <w:rFonts w:ascii="Arial" w:hAnsi="Arial" w:cs="Arial"/>
          <w:sz w:val="20"/>
          <w:szCs w:val="20"/>
          <w:vertAlign w:val="superscript"/>
        </w:rPr>
        <w:t>er</w:t>
      </w:r>
      <w:r w:rsidR="002C5D25" w:rsidRPr="001274FA">
        <w:rPr>
          <w:rFonts w:ascii="Arial" w:hAnsi="Arial" w:cs="Arial"/>
          <w:sz w:val="20"/>
          <w:szCs w:val="20"/>
        </w:rPr>
        <w:t>, paragraphe 1</w:t>
      </w:r>
      <w:r w:rsidR="002C5D25" w:rsidRPr="001274FA">
        <w:rPr>
          <w:rFonts w:ascii="Arial" w:hAnsi="Arial" w:cs="Arial"/>
          <w:sz w:val="20"/>
          <w:szCs w:val="20"/>
          <w:vertAlign w:val="superscript"/>
        </w:rPr>
        <w:t>er</w:t>
      </w:r>
      <w:r w:rsidR="00F6238C" w:rsidRPr="001274FA">
        <w:rPr>
          <w:rFonts w:ascii="Arial" w:hAnsi="Arial" w:cs="Arial"/>
          <w:sz w:val="20"/>
          <w:szCs w:val="20"/>
        </w:rPr>
        <w:t xml:space="preserve"> de l’article 29</w:t>
      </w:r>
      <w:r w:rsidR="00F6238C" w:rsidRPr="001274FA">
        <w:rPr>
          <w:rFonts w:ascii="Arial" w:hAnsi="Arial" w:cs="Arial"/>
          <w:i/>
          <w:iCs/>
          <w:sz w:val="20"/>
          <w:szCs w:val="20"/>
        </w:rPr>
        <w:t>bis</w:t>
      </w:r>
      <w:r w:rsidR="00F6238C" w:rsidRPr="001274FA">
        <w:rPr>
          <w:rFonts w:ascii="Arial" w:hAnsi="Arial" w:cs="Arial"/>
          <w:sz w:val="20"/>
          <w:szCs w:val="20"/>
        </w:rPr>
        <w:t xml:space="preserve"> précité</w:t>
      </w:r>
      <w:r w:rsidR="002C5D25" w:rsidRPr="001274FA">
        <w:rPr>
          <w:rFonts w:ascii="Arial" w:hAnsi="Arial" w:cs="Arial"/>
          <w:sz w:val="20"/>
          <w:szCs w:val="20"/>
        </w:rPr>
        <w:t>.</w:t>
      </w:r>
    </w:p>
    <w:p w14:paraId="289BCE75" w14:textId="0296CE94" w:rsidR="009E0337" w:rsidRPr="001274FA" w:rsidRDefault="005375C1" w:rsidP="005375C1">
      <w:pPr>
        <w:jc w:val="both"/>
        <w:rPr>
          <w:rFonts w:ascii="Arial" w:hAnsi="Arial" w:cs="Arial"/>
          <w:sz w:val="20"/>
          <w:szCs w:val="20"/>
        </w:rPr>
      </w:pPr>
      <w:r w:rsidRPr="001274FA">
        <w:rPr>
          <w:rFonts w:ascii="Arial" w:hAnsi="Arial" w:cs="Arial"/>
          <w:sz w:val="20"/>
          <w:szCs w:val="20"/>
        </w:rPr>
        <w:t xml:space="preserve">En entend par logement </w:t>
      </w:r>
      <w:r w:rsidR="00B16D59">
        <w:rPr>
          <w:rFonts w:ascii="Arial" w:hAnsi="Arial" w:cs="Arial"/>
          <w:sz w:val="20"/>
          <w:szCs w:val="20"/>
        </w:rPr>
        <w:t>du marché libre</w:t>
      </w:r>
      <w:r w:rsidRPr="001274FA">
        <w:rPr>
          <w:rFonts w:ascii="Arial" w:hAnsi="Arial" w:cs="Arial"/>
          <w:sz w:val="20"/>
          <w:szCs w:val="20"/>
        </w:rPr>
        <w:t xml:space="preserve"> tout logement non</w:t>
      </w:r>
      <w:r w:rsidR="003F29FC" w:rsidRPr="001274FA">
        <w:rPr>
          <w:rFonts w:ascii="Arial" w:hAnsi="Arial" w:cs="Arial"/>
          <w:sz w:val="20"/>
          <w:szCs w:val="20"/>
        </w:rPr>
        <w:t xml:space="preserve"> visé par </w:t>
      </w:r>
      <w:r w:rsidR="00F6238C" w:rsidRPr="001274FA">
        <w:rPr>
          <w:rFonts w:ascii="Arial" w:hAnsi="Arial" w:cs="Arial"/>
          <w:sz w:val="20"/>
          <w:szCs w:val="20"/>
        </w:rPr>
        <w:t>l’alinéa 1</w:t>
      </w:r>
      <w:r w:rsidR="00F6238C" w:rsidRPr="001274FA">
        <w:rPr>
          <w:rFonts w:ascii="Arial" w:hAnsi="Arial" w:cs="Arial"/>
          <w:sz w:val="20"/>
          <w:szCs w:val="20"/>
          <w:vertAlign w:val="superscript"/>
        </w:rPr>
        <w:t>er</w:t>
      </w:r>
      <w:r w:rsidR="00F6238C" w:rsidRPr="001274FA">
        <w:rPr>
          <w:rFonts w:ascii="Arial" w:hAnsi="Arial" w:cs="Arial"/>
          <w:sz w:val="20"/>
          <w:szCs w:val="20"/>
        </w:rPr>
        <w:t>, paragraphe 1</w:t>
      </w:r>
      <w:r w:rsidR="00F6238C" w:rsidRPr="001274FA">
        <w:rPr>
          <w:rFonts w:ascii="Arial" w:hAnsi="Arial" w:cs="Arial"/>
          <w:sz w:val="20"/>
          <w:szCs w:val="20"/>
          <w:vertAlign w:val="superscript"/>
        </w:rPr>
        <w:t>er</w:t>
      </w:r>
      <w:r w:rsidR="00F6238C" w:rsidRPr="001274FA">
        <w:rPr>
          <w:rFonts w:ascii="Arial" w:hAnsi="Arial" w:cs="Arial"/>
          <w:sz w:val="20"/>
          <w:szCs w:val="20"/>
        </w:rPr>
        <w:t xml:space="preserve"> de l’article 29</w:t>
      </w:r>
      <w:r w:rsidR="00F6238C" w:rsidRPr="001274FA">
        <w:rPr>
          <w:rFonts w:ascii="Arial" w:hAnsi="Arial" w:cs="Arial"/>
          <w:i/>
          <w:iCs/>
          <w:sz w:val="20"/>
          <w:szCs w:val="20"/>
        </w:rPr>
        <w:t>bis</w:t>
      </w:r>
      <w:r w:rsidR="00F6238C" w:rsidRPr="001274FA">
        <w:rPr>
          <w:rFonts w:ascii="Arial" w:hAnsi="Arial" w:cs="Arial"/>
          <w:sz w:val="20"/>
          <w:szCs w:val="20"/>
        </w:rPr>
        <w:t xml:space="preserve"> précité</w:t>
      </w:r>
      <w:r w:rsidRPr="001274FA">
        <w:rPr>
          <w:rFonts w:ascii="Arial" w:hAnsi="Arial" w:cs="Arial"/>
          <w:sz w:val="20"/>
          <w:szCs w:val="20"/>
        </w:rPr>
        <w:t>.</w:t>
      </w:r>
    </w:p>
    <w:p w14:paraId="0E1E8353" w14:textId="77777777" w:rsidR="00F6238C" w:rsidRPr="001274FA" w:rsidRDefault="00F6238C" w:rsidP="00BD160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53"/>
        <w:gridCol w:w="426"/>
        <w:gridCol w:w="1644"/>
        <w:gridCol w:w="456"/>
        <w:gridCol w:w="1198"/>
        <w:gridCol w:w="359"/>
        <w:gridCol w:w="1174"/>
        <w:gridCol w:w="359"/>
        <w:gridCol w:w="1106"/>
        <w:gridCol w:w="378"/>
        <w:gridCol w:w="1179"/>
        <w:gridCol w:w="359"/>
      </w:tblGrid>
      <w:tr w:rsidR="00BB782D" w:rsidRPr="001274FA" w14:paraId="00DBA8BA" w14:textId="77777777" w:rsidTr="001274FA">
        <w:trPr>
          <w:trHeight w:val="515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E97374" w14:textId="71A6B5A6" w:rsidR="00BB782D" w:rsidRPr="003F29FC" w:rsidRDefault="001274FA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4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Lot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6842F7" w14:textId="77777777" w:rsidR="00B95B5A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SCB destinée exclusivement au logement </w:t>
            </w:r>
          </w:p>
          <w:p w14:paraId="7EFC8A84" w14:textId="1BEFBA16" w:rsidR="00BB782D" w:rsidRPr="003F29FC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B16D5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marché libre </w:t>
            </w:r>
            <w:r w:rsidR="001274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&amp;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abordable)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FE1077" w14:textId="3CA526B6" w:rsidR="00BB782D" w:rsidRPr="003F29FC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SCB minimale réservée au logement abordable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A98A0" w14:textId="0D920924" w:rsidR="00BB782D" w:rsidRPr="003F29FC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minimal de logements</w:t>
            </w:r>
            <w:r w:rsidR="00F833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A567A" w:rsidRPr="001274FA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302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DDB1C" w14:textId="6820B360" w:rsidR="00BB782D" w:rsidRPr="003F29FC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Nombre </w:t>
            </w:r>
            <w:r w:rsidR="00B95B5A" w:rsidRPr="001274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maximal</w:t>
            </w: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de logements</w:t>
            </w:r>
          </w:p>
        </w:tc>
      </w:tr>
      <w:tr w:rsidR="00BB782D" w:rsidRPr="001274FA" w14:paraId="3E0D6209" w14:textId="77777777" w:rsidTr="001274FA">
        <w:trPr>
          <w:trHeight w:val="242"/>
        </w:trPr>
        <w:tc>
          <w:tcPr>
            <w:tcW w:w="59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4A7A3" w14:textId="77777777" w:rsidR="00BB782D" w:rsidRPr="003F29FC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F3AE6E" w14:textId="77777777" w:rsidR="00BB782D" w:rsidRPr="003F29FC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99B1B" w14:textId="77777777" w:rsidR="00BB782D" w:rsidRPr="003F29FC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55A7" w14:textId="0360812E" w:rsidR="00BB782D" w:rsidRPr="003F29FC" w:rsidRDefault="00B16D59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 marché libre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2CCF8" w14:textId="77777777" w:rsidR="00BB782D" w:rsidRPr="003F29FC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abordables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361D" w14:textId="34EDFD9B" w:rsidR="00BB782D" w:rsidRPr="003F29FC" w:rsidRDefault="00B16D59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du marché libre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EBF4A" w14:textId="77777777" w:rsidR="00BB782D" w:rsidRPr="003F29FC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abordables</w:t>
            </w:r>
          </w:p>
        </w:tc>
      </w:tr>
      <w:tr w:rsidR="00BB782D" w:rsidRPr="001274FA" w14:paraId="370085DD" w14:textId="77777777" w:rsidTr="001274FA">
        <w:trPr>
          <w:trHeight w:val="173"/>
        </w:trPr>
        <w:tc>
          <w:tcPr>
            <w:tcW w:w="59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7B6BC27" w14:textId="77777777" w:rsidR="00BB782D" w:rsidRPr="001274FA" w:rsidRDefault="00BB782D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5CD88B" w14:textId="77777777" w:rsidR="00BB782D" w:rsidRPr="001274FA" w:rsidRDefault="00BB782D" w:rsidP="003F2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CEC250F" w14:textId="77777777" w:rsidR="00BB782D" w:rsidRPr="001274FA" w:rsidRDefault="00BB782D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A56A51E" w14:textId="77777777" w:rsidR="00BB782D" w:rsidRPr="001274FA" w:rsidRDefault="00BB782D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9091C55" w14:textId="77777777" w:rsidR="00BB782D" w:rsidRPr="001274FA" w:rsidRDefault="00BB782D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D90B7B4" w14:textId="77777777" w:rsidR="00BB782D" w:rsidRPr="001274FA" w:rsidRDefault="00BB782D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3E45187" w14:textId="77777777" w:rsidR="00BB782D" w:rsidRPr="001274FA" w:rsidRDefault="00BB782D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918796B" w14:textId="77777777" w:rsidR="00BB782D" w:rsidRPr="001274FA" w:rsidRDefault="00BB782D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AF6BB64" w14:textId="77777777" w:rsidR="00BB782D" w:rsidRPr="001274FA" w:rsidRDefault="00BB782D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67FA3AD" w14:textId="77777777" w:rsidR="00BB782D" w:rsidRPr="001274FA" w:rsidRDefault="00BB782D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9B6EE1A" w14:textId="77777777" w:rsidR="00BB782D" w:rsidRPr="001274FA" w:rsidRDefault="00BB782D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59D93582" w14:textId="77777777" w:rsidR="00BB782D" w:rsidRPr="001274FA" w:rsidRDefault="00BB782D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CE6A2CD" w14:textId="77777777" w:rsidR="00BB782D" w:rsidRPr="001274FA" w:rsidRDefault="00BB782D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274FA" w:rsidRPr="001274FA" w14:paraId="5763053F" w14:textId="77777777" w:rsidTr="001274FA">
        <w:trPr>
          <w:trHeight w:val="300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C62FFD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BB182" w14:textId="50BC15A1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B5B3" w14:textId="7777777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560B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873" w14:textId="7A8CD10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A2CF2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3075" w14:textId="7777777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ECBC1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5706" w14:textId="69015452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4596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857A" w14:textId="2287EA9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6812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50B5" w14:textId="6774FFF9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u. </w:t>
            </w:r>
          </w:p>
        </w:tc>
      </w:tr>
      <w:tr w:rsidR="001274FA" w:rsidRPr="001274FA" w14:paraId="6D4A88D2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CD2565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04F8F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FCF" w14:textId="040B717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806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4E27" w14:textId="073CDCD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EF21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B156" w14:textId="0754B80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7FCBF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F051" w14:textId="730CC346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57D3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1FD" w14:textId="533F736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1D07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9B24" w14:textId="0E8CD6B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60FA1914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F6FCAD6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558F8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0B24" w14:textId="04412375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573F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655" w14:textId="44F17E39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786E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DBB" w14:textId="5825A7C8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C346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1F1" w14:textId="4BAC4D70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B866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16B2" w14:textId="443B1A5F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6508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D0D9" w14:textId="4C16DDFC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6E78D7B5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5A10508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AEBE8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019D" w14:textId="27830A8C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D82C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FECE" w14:textId="7F84212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F11D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BBEE" w14:textId="37A2946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5D7F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A847" w14:textId="2C23A90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8F2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919" w14:textId="2A6F9431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49B42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1163" w14:textId="244EF7C5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78A84C57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CF8254E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BE033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D94" w14:textId="50F30D20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1391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827C" w14:textId="0AF9BEB3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9C99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359" w14:textId="7324DB3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E80A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7EC7" w14:textId="6F17C46F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38C83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681" w14:textId="1594E1F0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DD14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4DA3" w14:textId="048417A3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76124492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B85958C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70415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CF2" w14:textId="5B34A970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FE85F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0CB" w14:textId="2A159C8A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2BC6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3554" w14:textId="67FB6B21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8AEA9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663" w14:textId="7DD7C930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1843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314" w14:textId="0BAC684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6DB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919E" w14:textId="5A8B7E3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4D302E97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5DD7DA4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9C5F0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34FF" w14:textId="603F4C5F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E5F0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1715" w14:textId="1A2326D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53E1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AA5" w14:textId="3349C53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1C6B7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2E2D" w14:textId="5A4E21CF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54A12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4038" w14:textId="7028B56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A094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0762" w14:textId="3476C29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187D28D8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C783796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96270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4093" w14:textId="1E829CF0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11BB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13F7" w14:textId="51969FC3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CD30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77FD" w14:textId="301F2B2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AFEAE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FD8E" w14:textId="0273E748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E7BD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E526" w14:textId="64C3C279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B21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89D8" w14:textId="4B136821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4EE01A5C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494A63C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A1561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BF3" w14:textId="01FEFEA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AE9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53C8" w14:textId="1A7BCD8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0EB4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CA36" w14:textId="36C7CAD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D43A6" w14:textId="5FBDFB7F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1378" w14:textId="337C69E8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A61A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268A" w14:textId="4508939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2F9C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4557" w14:textId="428E94F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28A96D56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66009BA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1D0EE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252" w14:textId="45B41EE0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BEAF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1093" w14:textId="1A87F3F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9871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401" w14:textId="6EB6CA56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392BF" w14:textId="16662715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6EB2" w14:textId="46F7BE5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7D2E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1160" w14:textId="7513F14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442D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43F2" w14:textId="72F51BBF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6AFE4003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6D44E98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7C23C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474D" w14:textId="105C322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2FDBD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E7F1" w14:textId="6CA7B268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EFCE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C51" w14:textId="757D2D51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3F809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251F" w14:textId="294D6D3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E469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7B4A" w14:textId="191D4688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8BC7F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C4B" w14:textId="403656B0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10E0BC69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6EA99F8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181B4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C296" w14:textId="0BFD79E1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D96C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D169" w14:textId="787431E5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866E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944" w14:textId="5E4061C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777B4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13EE" w14:textId="1A63A283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3546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B7E4" w14:textId="1327995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6A3D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79C9" w14:textId="7FA871C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458A294F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8A8B7F4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5BAC6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FB12" w14:textId="2765EB5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EC3C6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B6E" w14:textId="1CAB109C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9CCA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C334" w14:textId="66F4EC88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D8937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F54" w14:textId="7B5E32A9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360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22C0" w14:textId="713342F9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5FDCA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E049" w14:textId="7C21E94F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092ED3E4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05F9EE7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FF0A3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C8F" w14:textId="008D422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20A4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137C" w14:textId="69A8F23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6911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609" w14:textId="5D230F4C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4771D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4F1" w14:textId="67CA6AA3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2BF3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06C" w14:textId="569D418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4C3A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215D" w14:textId="3C006C0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6D5F7FF1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48382E7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1D726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909E" w14:textId="0CA6E0F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BFA3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9991" w14:textId="1161BF2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493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67EB" w14:textId="250EB40C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79143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B0F2" w14:textId="5B69E91F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2C9F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C180" w14:textId="69E756E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4184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1BB9" w14:textId="773CBA1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5C62F950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3BC2496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42E7C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A64" w14:textId="634EDECC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E504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D0BA" w14:textId="6DEF802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E363A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33EC" w14:textId="401DF73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BD14E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7ED2" w14:textId="09213869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2FDD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90D" w14:textId="6AFE59C6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C327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16F" w14:textId="6FBB8F4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439343FA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C0351AB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104A3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89D3" w14:textId="45746F9A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4EBA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FEB4" w14:textId="1814467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FDA7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EDB2" w14:textId="58A2D8E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8B39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46E0" w14:textId="5A7DC812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E101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D734" w14:textId="3AC6EA0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B8AF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06C3" w14:textId="09751E2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0AFEB940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3A39F32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EFEAE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7EC" w14:textId="196FB3E5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22FC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1DFA" w14:textId="5CE0051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C02F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609" w14:textId="7A688F93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B94BD" w14:textId="67F6125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FF09" w14:textId="26712FA9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D71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202A" w14:textId="7C0DEEE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B583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3CA6" w14:textId="6D131D1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457FA629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91572FC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92A39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67F" w14:textId="6AC28E2D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C7D6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46B0" w14:textId="19303699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C82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172C" w14:textId="29E04F0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5C3C2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BBF9" w14:textId="5F3E270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F18C6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B31" w14:textId="3D94041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A051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E8AA" w14:textId="114F70B8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69267CB2" w14:textId="77777777" w:rsidTr="001274FA">
        <w:trPr>
          <w:trHeight w:val="31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D165C05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4FF95" w14:textId="77777777" w:rsidR="003F29FC" w:rsidRPr="003F29FC" w:rsidRDefault="003F29FC" w:rsidP="00190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FA2E" w14:textId="6966C770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84B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1753" w14:textId="69AB4CFE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C9DC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652" w14:textId="1D459AC3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12082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0852" w14:textId="6E6D3AE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1D9C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220" w14:textId="726EBCDA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ED10B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6E68" w14:textId="2FA3FE6A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u.</w:t>
            </w:r>
          </w:p>
        </w:tc>
      </w:tr>
      <w:tr w:rsidR="00BB782D" w:rsidRPr="001274FA" w14:paraId="2E0AC948" w14:textId="77777777" w:rsidTr="001274FA">
        <w:trPr>
          <w:trHeight w:val="109"/>
        </w:trPr>
        <w:tc>
          <w:tcPr>
            <w:tcW w:w="59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521301" w14:textId="705842F1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AFB586" w14:textId="77777777" w:rsidR="003F29FC" w:rsidRPr="003F29FC" w:rsidRDefault="003F29FC" w:rsidP="00154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BD4D" w14:textId="7777777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3B44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8920" w14:textId="7777777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8044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A36C" w14:textId="7777777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41D3C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46B6" w14:textId="7777777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8BA2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A5B0" w14:textId="7777777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10A0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B31B" w14:textId="77777777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B782D" w:rsidRPr="001274FA" w14:paraId="7610D51E" w14:textId="77777777" w:rsidTr="001274FA">
        <w:trPr>
          <w:trHeight w:val="315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8AB04" w14:textId="77777777" w:rsidR="003F29FC" w:rsidRPr="003F29FC" w:rsidRDefault="003F29FC" w:rsidP="003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25ACD2" w14:textId="77777777" w:rsidR="003F29FC" w:rsidRPr="003F29FC" w:rsidRDefault="003F29FC" w:rsidP="00154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AB37" w14:textId="042919D9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15ED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00BB" w14:textId="47F34DB8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0BC1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D4D7" w14:textId="7D879794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FAE5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0545" w14:textId="1F38361B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1F5A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A020" w14:textId="79423BB2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u.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AE310" w14:textId="77777777" w:rsidR="003F29FC" w:rsidRPr="003F29FC" w:rsidRDefault="003F29FC" w:rsidP="00154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5A4D1" w14:textId="4853C716" w:rsidR="003F29FC" w:rsidRPr="003F29FC" w:rsidRDefault="003F29FC" w:rsidP="003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F29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u.</w:t>
            </w:r>
          </w:p>
        </w:tc>
      </w:tr>
    </w:tbl>
    <w:p w14:paraId="0E185353" w14:textId="77777777" w:rsidR="00B8283A" w:rsidRPr="001274FA" w:rsidRDefault="00B8283A" w:rsidP="00BD160D">
      <w:pPr>
        <w:rPr>
          <w:rFonts w:ascii="Arial" w:hAnsi="Arial" w:cs="Arial"/>
        </w:rPr>
      </w:pPr>
    </w:p>
    <w:sectPr w:rsidR="00B8283A" w:rsidRPr="001274FA" w:rsidSect="00B8283A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B100" w14:textId="77777777" w:rsidR="00B06BB3" w:rsidRDefault="00B06BB3" w:rsidP="00B8283A">
      <w:pPr>
        <w:spacing w:after="0" w:line="240" w:lineRule="auto"/>
      </w:pPr>
      <w:r>
        <w:separator/>
      </w:r>
    </w:p>
  </w:endnote>
  <w:endnote w:type="continuationSeparator" w:id="0">
    <w:p w14:paraId="5BEA4580" w14:textId="77777777" w:rsidR="00B06BB3" w:rsidRDefault="00B06BB3" w:rsidP="00B8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5AE3" w14:textId="77777777" w:rsidR="00B06BB3" w:rsidRDefault="00B06BB3" w:rsidP="00B8283A">
      <w:pPr>
        <w:spacing w:after="0" w:line="240" w:lineRule="auto"/>
      </w:pPr>
      <w:r>
        <w:separator/>
      </w:r>
    </w:p>
  </w:footnote>
  <w:footnote w:type="continuationSeparator" w:id="0">
    <w:p w14:paraId="6AF42E33" w14:textId="77777777" w:rsidR="00B06BB3" w:rsidRDefault="00B06BB3" w:rsidP="00B8283A">
      <w:pPr>
        <w:spacing w:after="0" w:line="240" w:lineRule="auto"/>
      </w:pPr>
      <w:r>
        <w:continuationSeparator/>
      </w:r>
    </w:p>
  </w:footnote>
  <w:footnote w:id="1">
    <w:p w14:paraId="0D2B7232" w14:textId="2816AC0D" w:rsidR="00FA567A" w:rsidRPr="00BD160D" w:rsidRDefault="00FA567A" w:rsidP="00F6238C">
      <w:pPr>
        <w:pStyle w:val="FootnoteText"/>
        <w:jc w:val="both"/>
        <w:rPr>
          <w:i/>
          <w:iCs/>
          <w:sz w:val="18"/>
          <w:szCs w:val="18"/>
        </w:rPr>
      </w:pPr>
      <w:r w:rsidRPr="00BD160D">
        <w:rPr>
          <w:rStyle w:val="FootnoteReference"/>
          <w:i/>
          <w:iCs/>
          <w:color w:val="000000" w:themeColor="text1"/>
          <w:sz w:val="18"/>
          <w:szCs w:val="18"/>
        </w:rPr>
        <w:footnoteRef/>
      </w:r>
      <w:r w:rsidRPr="00BD160D">
        <w:rPr>
          <w:i/>
          <w:iCs/>
          <w:color w:val="000000" w:themeColor="text1"/>
          <w:sz w:val="18"/>
          <w:szCs w:val="18"/>
        </w:rPr>
        <w:t xml:space="preserve"> Au cas où les auteurs du projet ne souhaitent pas définir pour un plusieurs lots un nombre minimal de logements </w:t>
      </w:r>
      <w:r w:rsidR="00722748">
        <w:rPr>
          <w:i/>
          <w:iCs/>
          <w:color w:val="000000" w:themeColor="text1"/>
          <w:sz w:val="18"/>
          <w:szCs w:val="18"/>
        </w:rPr>
        <w:t>du marché libre</w:t>
      </w:r>
      <w:r w:rsidRPr="00BD160D">
        <w:rPr>
          <w:i/>
          <w:iCs/>
          <w:color w:val="000000" w:themeColor="text1"/>
          <w:sz w:val="18"/>
          <w:szCs w:val="18"/>
        </w:rPr>
        <w:t xml:space="preserve"> et/ou abordables, il y a lieu de renseigner cette disposition par le </w:t>
      </w:r>
      <w:proofErr w:type="spellStart"/>
      <w:r w:rsidRPr="00BD160D">
        <w:rPr>
          <w:i/>
          <w:iCs/>
          <w:color w:val="000000" w:themeColor="text1"/>
          <w:sz w:val="18"/>
          <w:szCs w:val="18"/>
        </w:rPr>
        <w:t>symbol</w:t>
      </w:r>
      <w:proofErr w:type="spellEnd"/>
      <w:r w:rsidRPr="00BD160D">
        <w:rPr>
          <w:i/>
          <w:iCs/>
          <w:color w:val="000000" w:themeColor="text1"/>
          <w:sz w:val="18"/>
          <w:szCs w:val="18"/>
        </w:rPr>
        <w:t xml:space="preserve"> « - » dans la ou les cellules concernées du tableau. </w:t>
      </w:r>
      <w:r w:rsidR="00F6238C" w:rsidRPr="00BD160D">
        <w:rPr>
          <w:i/>
          <w:iCs/>
          <w:color w:val="000000" w:themeColor="text1"/>
          <w:sz w:val="18"/>
          <w:szCs w:val="18"/>
        </w:rPr>
        <w:t xml:space="preserve">Cependant, la définition d’un nombre de logements </w:t>
      </w:r>
      <w:r w:rsidR="00722748">
        <w:rPr>
          <w:i/>
          <w:iCs/>
          <w:color w:val="000000" w:themeColor="text1"/>
          <w:sz w:val="18"/>
          <w:szCs w:val="18"/>
        </w:rPr>
        <w:t>du marché libre</w:t>
      </w:r>
      <w:r w:rsidR="00F6238C" w:rsidRPr="00BD160D">
        <w:rPr>
          <w:i/>
          <w:iCs/>
          <w:color w:val="000000" w:themeColor="text1"/>
          <w:sz w:val="18"/>
          <w:szCs w:val="18"/>
        </w:rPr>
        <w:t xml:space="preserve"> minimale est obligatoire si le plan d’aménagement général fixe une densité de logement minimale pour la zone concernée.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889E" w14:textId="42C2E240" w:rsidR="00BD160D" w:rsidRPr="00BD160D" w:rsidRDefault="00A10F74" w:rsidP="00A10F74">
    <w:pPr>
      <w:pStyle w:val="Header"/>
      <w:tabs>
        <w:tab w:val="clear" w:pos="4680"/>
        <w:tab w:val="clear" w:pos="9360"/>
        <w:tab w:val="right" w:pos="10773"/>
      </w:tabs>
      <w:rPr>
        <w:sz w:val="18"/>
        <w:szCs w:val="18"/>
      </w:rPr>
    </w:pPr>
    <w:bookmarkStart w:id="0" w:name="BkmHeader"/>
    <w:bookmarkEnd w:id="0"/>
    <w:r w:rsidRPr="005C1DAD">
      <w:rPr>
        <w:noProof/>
        <w:lang w:val="fr-LU" w:eastAsia="fr-LU"/>
      </w:rPr>
      <w:drawing>
        <wp:inline distT="0" distB="0" distL="0" distR="0" wp14:anchorId="422CCD68" wp14:editId="4BD0E998">
          <wp:extent cx="2634018" cy="62754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764" cy="62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 w:rsidR="00BD160D" w:rsidRPr="00BD160D">
      <w:rPr>
        <w:sz w:val="18"/>
        <w:szCs w:val="18"/>
      </w:rPr>
      <w:t>Version révisée conformément à l'article 29</w:t>
    </w:r>
    <w:r w:rsidR="00BD160D" w:rsidRPr="00BD160D">
      <w:rPr>
        <w:i/>
        <w:iCs/>
        <w:sz w:val="18"/>
        <w:szCs w:val="18"/>
      </w:rPr>
      <w:t>bis</w:t>
    </w:r>
    <w:r w:rsidR="00BD160D" w:rsidRPr="00BD160D">
      <w:rPr>
        <w:sz w:val="18"/>
        <w:szCs w:val="18"/>
      </w:rPr>
      <w:t>, tel qu'en vigueur depuis le XX/XX/XX</w:t>
    </w:r>
  </w:p>
  <w:p w14:paraId="5A06CF0D" w14:textId="77777777" w:rsidR="00BD160D" w:rsidRDefault="00BD160D" w:rsidP="00BD160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A"/>
    <w:rsid w:val="00040821"/>
    <w:rsid w:val="001274FA"/>
    <w:rsid w:val="001540EF"/>
    <w:rsid w:val="00172E8F"/>
    <w:rsid w:val="00183ED3"/>
    <w:rsid w:val="00190E2D"/>
    <w:rsid w:val="001E7624"/>
    <w:rsid w:val="002C5D25"/>
    <w:rsid w:val="003518A8"/>
    <w:rsid w:val="003F29FC"/>
    <w:rsid w:val="004D7D59"/>
    <w:rsid w:val="005375C1"/>
    <w:rsid w:val="0062115C"/>
    <w:rsid w:val="006801CA"/>
    <w:rsid w:val="00722748"/>
    <w:rsid w:val="007C4D1A"/>
    <w:rsid w:val="008A148A"/>
    <w:rsid w:val="009E0337"/>
    <w:rsid w:val="00A10F74"/>
    <w:rsid w:val="00A43E94"/>
    <w:rsid w:val="00B06BB3"/>
    <w:rsid w:val="00B1696C"/>
    <w:rsid w:val="00B16D59"/>
    <w:rsid w:val="00B75A5C"/>
    <w:rsid w:val="00B8283A"/>
    <w:rsid w:val="00B95B5A"/>
    <w:rsid w:val="00BB782D"/>
    <w:rsid w:val="00BD160D"/>
    <w:rsid w:val="00BE04AD"/>
    <w:rsid w:val="00C33B5B"/>
    <w:rsid w:val="00E06EE5"/>
    <w:rsid w:val="00E86184"/>
    <w:rsid w:val="00F6238C"/>
    <w:rsid w:val="00F833A9"/>
    <w:rsid w:val="00F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FBB46"/>
  <w15:chartTrackingRefBased/>
  <w15:docId w15:val="{A1CF1E51-3B4A-4798-B319-C395AE6E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83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8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83A"/>
    <w:rPr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5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67A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FA5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OTTAVIANI</dc:creator>
  <cp:keywords/>
  <dc:description/>
  <cp:lastModifiedBy>Frank Goeders</cp:lastModifiedBy>
  <cp:revision>3</cp:revision>
  <dcterms:created xsi:type="dcterms:W3CDTF">2025-05-15T12:09:00Z</dcterms:created>
  <dcterms:modified xsi:type="dcterms:W3CDTF">2025-05-15T12:20:00Z</dcterms:modified>
</cp:coreProperties>
</file>