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90DCB" w14:textId="77777777" w:rsidR="006B0E82" w:rsidRPr="00927063" w:rsidRDefault="006B0E82" w:rsidP="006B0E82">
      <w:pPr>
        <w:pBdr>
          <w:top w:val="single" w:sz="4" w:space="1" w:color="auto"/>
          <w:left w:val="single" w:sz="4" w:space="4" w:color="auto"/>
          <w:bottom w:val="single" w:sz="4" w:space="1" w:color="auto"/>
          <w:right w:val="single" w:sz="4" w:space="4" w:color="auto"/>
        </w:pBdr>
        <w:shd w:val="clear" w:color="auto" w:fill="DAEEF3" w:themeFill="accent5" w:themeFillTint="33"/>
        <w:spacing w:after="0"/>
        <w:jc w:val="center"/>
        <w:rPr>
          <w:b/>
          <w:sz w:val="24"/>
          <w:szCs w:val="24"/>
        </w:rPr>
      </w:pPr>
    </w:p>
    <w:p w14:paraId="2E66A6A4" w14:textId="6B5F6C6D" w:rsidR="006B0E82" w:rsidRPr="00927063" w:rsidRDefault="006B0E82" w:rsidP="008913A1">
      <w:pPr>
        <w:pBdr>
          <w:top w:val="single" w:sz="4" w:space="1" w:color="auto"/>
          <w:left w:val="single" w:sz="4" w:space="4" w:color="auto"/>
          <w:bottom w:val="single" w:sz="4" w:space="1" w:color="auto"/>
          <w:right w:val="single" w:sz="4" w:space="4" w:color="auto"/>
        </w:pBdr>
        <w:shd w:val="clear" w:color="auto" w:fill="DAEEF3" w:themeFill="accent5" w:themeFillTint="33"/>
        <w:spacing w:after="0"/>
        <w:jc w:val="center"/>
        <w:rPr>
          <w:b/>
          <w:sz w:val="24"/>
          <w:szCs w:val="24"/>
        </w:rPr>
      </w:pPr>
      <w:r w:rsidRPr="00927063">
        <w:rPr>
          <w:b/>
          <w:sz w:val="24"/>
          <w:szCs w:val="24"/>
        </w:rPr>
        <w:t>Subsides aux entités publiques du secteur communal, initiant et soutenant des projets en vue de l’intégration et de l’accueil des étrangers</w:t>
      </w:r>
    </w:p>
    <w:p w14:paraId="28BED5B3" w14:textId="77777777" w:rsidR="006B0E82" w:rsidRPr="00927063" w:rsidRDefault="006B0E82" w:rsidP="006B0E82">
      <w:pPr>
        <w:pBdr>
          <w:top w:val="single" w:sz="4" w:space="1" w:color="auto"/>
          <w:left w:val="single" w:sz="4" w:space="4" w:color="auto"/>
          <w:bottom w:val="single" w:sz="4" w:space="1" w:color="auto"/>
          <w:right w:val="single" w:sz="4" w:space="4" w:color="auto"/>
        </w:pBdr>
        <w:shd w:val="clear" w:color="auto" w:fill="DAEEF3" w:themeFill="accent5" w:themeFillTint="33"/>
        <w:spacing w:after="0"/>
        <w:jc w:val="center"/>
        <w:rPr>
          <w:b/>
          <w:sz w:val="24"/>
          <w:szCs w:val="24"/>
        </w:rPr>
      </w:pPr>
    </w:p>
    <w:p w14:paraId="404A3EF4" w14:textId="2EFDCFB6" w:rsidR="001966D8" w:rsidRPr="00927063" w:rsidRDefault="00297243" w:rsidP="00953D85">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sz w:val="24"/>
          <w:szCs w:val="24"/>
        </w:rPr>
      </w:pPr>
      <w:r>
        <w:rPr>
          <w:b/>
          <w:sz w:val="24"/>
          <w:szCs w:val="24"/>
        </w:rPr>
        <w:t>Modalités d’octroi</w:t>
      </w:r>
    </w:p>
    <w:p w14:paraId="6431FC75" w14:textId="5F33F563" w:rsidR="00B15B43" w:rsidRPr="00927063" w:rsidRDefault="00992A9D" w:rsidP="00B15B43">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sz w:val="24"/>
          <w:szCs w:val="24"/>
        </w:rPr>
      </w:pPr>
      <w:r>
        <w:rPr>
          <w:b/>
          <w:sz w:val="24"/>
          <w:szCs w:val="24"/>
        </w:rPr>
        <w:t>Février</w:t>
      </w:r>
      <w:r w:rsidR="002F4863" w:rsidRPr="00262F6C">
        <w:rPr>
          <w:b/>
          <w:sz w:val="24"/>
          <w:szCs w:val="24"/>
        </w:rPr>
        <w:t xml:space="preserve"> 2020</w:t>
      </w:r>
    </w:p>
    <w:p w14:paraId="7B5DE563" w14:textId="78FFCA1A" w:rsidR="003B213D" w:rsidRDefault="003B213D" w:rsidP="001966D8">
      <w:pPr>
        <w:rPr>
          <w:b/>
        </w:rPr>
      </w:pPr>
    </w:p>
    <w:p w14:paraId="07F9428E" w14:textId="77777777" w:rsidR="00AB750B" w:rsidRPr="00927063" w:rsidRDefault="00AB750B" w:rsidP="001966D8">
      <w:pPr>
        <w:rPr>
          <w:b/>
        </w:rPr>
      </w:pPr>
    </w:p>
    <w:p w14:paraId="71FFF883" w14:textId="12AFEB0C" w:rsidR="00927063" w:rsidRPr="006F39C7" w:rsidRDefault="006F39C7" w:rsidP="006F39C7">
      <w:pPr>
        <w:rPr>
          <w:b/>
        </w:rPr>
      </w:pPr>
      <w:r w:rsidRPr="006F39C7">
        <w:rPr>
          <w:b/>
        </w:rPr>
        <w:t xml:space="preserve">1. </w:t>
      </w:r>
      <w:r w:rsidR="00927063" w:rsidRPr="006F39C7">
        <w:rPr>
          <w:b/>
          <w:u w:val="single"/>
        </w:rPr>
        <w:t>Cadre général</w:t>
      </w:r>
    </w:p>
    <w:p w14:paraId="253BB2BD" w14:textId="77777777" w:rsidR="006F39C7" w:rsidRDefault="006F39C7" w:rsidP="00927063">
      <w:pPr>
        <w:tabs>
          <w:tab w:val="left" w:pos="1134"/>
          <w:tab w:val="center" w:pos="4536"/>
          <w:tab w:val="right" w:pos="9072"/>
        </w:tabs>
        <w:spacing w:after="0"/>
        <w:jc w:val="both"/>
        <w:rPr>
          <w:rFonts w:eastAsia="Times New Roman" w:cs="Arial"/>
          <w:bCs/>
          <w:lang w:eastAsia="fr-FR"/>
        </w:rPr>
      </w:pPr>
    </w:p>
    <w:p w14:paraId="63ABDC39" w14:textId="33820309" w:rsidR="00927063" w:rsidRPr="00927063" w:rsidRDefault="00927063" w:rsidP="00DE35FE">
      <w:pPr>
        <w:tabs>
          <w:tab w:val="left" w:pos="1134"/>
          <w:tab w:val="center" w:pos="4536"/>
          <w:tab w:val="right" w:pos="9072"/>
        </w:tabs>
        <w:spacing w:after="0"/>
        <w:jc w:val="both"/>
        <w:rPr>
          <w:rFonts w:eastAsia="Times New Roman" w:cs="Arial"/>
          <w:lang w:eastAsia="fr-FR"/>
        </w:rPr>
      </w:pPr>
      <w:r w:rsidRPr="00927063">
        <w:rPr>
          <w:rFonts w:eastAsia="Times New Roman" w:cs="Arial"/>
          <w:lang w:eastAsia="fr-FR"/>
        </w:rPr>
        <w:t>Par le biais de l’article budgétaire «</w:t>
      </w:r>
      <w:r w:rsidR="00074DB9">
        <w:rPr>
          <w:rFonts w:eastAsia="Times New Roman" w:cs="Arial"/>
          <w:lang w:eastAsia="fr-FR"/>
        </w:rPr>
        <w:t xml:space="preserve"> </w:t>
      </w:r>
      <w:r w:rsidRPr="00927063">
        <w:rPr>
          <w:rFonts w:eastAsia="Times New Roman" w:cs="Arial"/>
          <w:i/>
          <w:lang w:eastAsia="fr-FR"/>
        </w:rPr>
        <w:t>Subsides aux entités publiques du secteur communal, intercommunal et régional, initiant et soutenant des projets</w:t>
      </w:r>
      <w:r w:rsidR="000658B9">
        <w:rPr>
          <w:rFonts w:eastAsia="Times New Roman" w:cs="Arial"/>
          <w:i/>
          <w:lang w:eastAsia="fr-FR"/>
        </w:rPr>
        <w:t>,</w:t>
      </w:r>
      <w:r w:rsidRPr="00927063">
        <w:rPr>
          <w:rFonts w:eastAsia="Times New Roman" w:cs="Arial"/>
          <w:i/>
          <w:lang w:eastAsia="fr-FR"/>
        </w:rPr>
        <w:t xml:space="preserve"> en vue de l’intégration et de l’accueil des étrangers </w:t>
      </w:r>
      <w:r w:rsidRPr="00927063">
        <w:rPr>
          <w:rFonts w:eastAsia="Times New Roman" w:cs="Arial"/>
          <w:lang w:eastAsia="fr-FR"/>
        </w:rPr>
        <w:t xml:space="preserve">», </w:t>
      </w:r>
      <w:r w:rsidR="005C62E2" w:rsidRPr="00927063">
        <w:rPr>
          <w:rFonts w:eastAsia="Times New Roman" w:cs="Arial"/>
          <w:lang w:eastAsia="fr-FR"/>
        </w:rPr>
        <w:t>l</w:t>
      </w:r>
      <w:r w:rsidR="005C62E2">
        <w:rPr>
          <w:rFonts w:eastAsia="Times New Roman" w:cs="Arial"/>
          <w:lang w:eastAsia="fr-FR"/>
        </w:rPr>
        <w:t xml:space="preserve">e Ministère de la Famille, </w:t>
      </w:r>
      <w:r w:rsidR="005C62E2" w:rsidRPr="005C62E2">
        <w:rPr>
          <w:rFonts w:eastAsia="Times New Roman" w:cs="Arial"/>
          <w:lang w:eastAsia="fr-FR"/>
        </w:rPr>
        <w:t>de l’Intégration et à la Grande Région</w:t>
      </w:r>
      <w:r w:rsidR="005C62E2">
        <w:rPr>
          <w:rFonts w:eastAsia="Times New Roman" w:cs="Arial"/>
          <w:lang w:eastAsia="fr-FR"/>
        </w:rPr>
        <w:t xml:space="preserve"> (ci-après</w:t>
      </w:r>
      <w:r w:rsidR="007F672F">
        <w:rPr>
          <w:rFonts w:eastAsia="Times New Roman" w:cs="Arial"/>
          <w:lang w:eastAsia="fr-FR"/>
        </w:rPr>
        <w:t xml:space="preserve"> dénommé</w:t>
      </w:r>
      <w:r w:rsidR="005C62E2">
        <w:rPr>
          <w:rFonts w:eastAsia="Times New Roman" w:cs="Arial"/>
          <w:lang w:eastAsia="fr-FR"/>
        </w:rPr>
        <w:t xml:space="preserve"> « le ministère »)</w:t>
      </w:r>
      <w:r w:rsidR="005C62E2" w:rsidRPr="00927063">
        <w:rPr>
          <w:rFonts w:eastAsia="Times New Roman" w:cs="Arial"/>
          <w:lang w:eastAsia="fr-FR"/>
        </w:rPr>
        <w:t xml:space="preserve"> </w:t>
      </w:r>
      <w:r w:rsidRPr="00927063">
        <w:rPr>
          <w:rFonts w:eastAsia="Times New Roman" w:cs="Arial"/>
          <w:lang w:eastAsia="fr-FR"/>
        </w:rPr>
        <w:t>offre un soutien financier aux communes</w:t>
      </w:r>
      <w:r w:rsidR="00DE35FE">
        <w:t xml:space="preserve">, </w:t>
      </w:r>
      <w:r w:rsidR="00DE35FE">
        <w:rPr>
          <w:rFonts w:eastAsia="Times New Roman" w:cs="Arial"/>
          <w:lang w:eastAsia="fr-FR"/>
        </w:rPr>
        <w:t xml:space="preserve">syndicats de communes, </w:t>
      </w:r>
      <w:r w:rsidR="00DE35FE" w:rsidRPr="00DE35FE">
        <w:rPr>
          <w:rFonts w:eastAsia="Times New Roman" w:cs="Arial"/>
          <w:lang w:eastAsia="fr-FR"/>
        </w:rPr>
        <w:t>et aux établissements publics placés sous la surveillance des communes</w:t>
      </w:r>
      <w:r w:rsidRPr="00927063">
        <w:rPr>
          <w:rFonts w:eastAsia="Times New Roman" w:cs="Arial"/>
          <w:lang w:eastAsia="fr-FR"/>
        </w:rPr>
        <w:t xml:space="preserve"> qui initie</w:t>
      </w:r>
      <w:r w:rsidR="00141FA8">
        <w:rPr>
          <w:rFonts w:eastAsia="Times New Roman" w:cs="Arial"/>
          <w:lang w:eastAsia="fr-FR"/>
        </w:rPr>
        <w:t>nt</w:t>
      </w:r>
      <w:r w:rsidRPr="00927063">
        <w:rPr>
          <w:rFonts w:eastAsia="Times New Roman" w:cs="Arial"/>
          <w:lang w:eastAsia="fr-FR"/>
        </w:rPr>
        <w:t xml:space="preserve"> des actions en faveur de l’intégration</w:t>
      </w:r>
      <w:r w:rsidR="00141FA8">
        <w:rPr>
          <w:rFonts w:eastAsia="Times New Roman" w:cs="Arial"/>
          <w:lang w:eastAsia="fr-FR"/>
        </w:rPr>
        <w:t xml:space="preserve"> jusqu’à épuisement des fonds</w:t>
      </w:r>
      <w:r w:rsidRPr="00927063">
        <w:rPr>
          <w:rFonts w:eastAsia="Times New Roman" w:cs="Arial"/>
          <w:lang w:eastAsia="fr-FR"/>
        </w:rPr>
        <w:t>.</w:t>
      </w:r>
    </w:p>
    <w:p w14:paraId="532C6FDD" w14:textId="6E2D4F3C" w:rsidR="00927063" w:rsidRDefault="00927063" w:rsidP="00927063">
      <w:pPr>
        <w:tabs>
          <w:tab w:val="left" w:pos="1134"/>
          <w:tab w:val="center" w:pos="4536"/>
          <w:tab w:val="right" w:pos="9072"/>
        </w:tabs>
        <w:spacing w:after="0"/>
        <w:rPr>
          <w:rFonts w:eastAsia="Times New Roman" w:cs="Arial"/>
          <w:b/>
          <w:lang w:eastAsia="fr-FR"/>
        </w:rPr>
      </w:pPr>
    </w:p>
    <w:p w14:paraId="5B45AA1B" w14:textId="77777777" w:rsidR="00E746A9" w:rsidRPr="00927063" w:rsidRDefault="00E746A9" w:rsidP="00927063">
      <w:pPr>
        <w:tabs>
          <w:tab w:val="left" w:pos="1134"/>
          <w:tab w:val="center" w:pos="4536"/>
          <w:tab w:val="right" w:pos="9072"/>
        </w:tabs>
        <w:spacing w:after="0"/>
        <w:rPr>
          <w:rFonts w:eastAsia="Times New Roman" w:cs="Arial"/>
          <w:b/>
          <w:lang w:eastAsia="fr-FR"/>
        </w:rPr>
      </w:pPr>
    </w:p>
    <w:p w14:paraId="6ACC6679" w14:textId="07A43073" w:rsidR="00927063" w:rsidRDefault="00723268" w:rsidP="00927063">
      <w:pPr>
        <w:tabs>
          <w:tab w:val="left" w:pos="1134"/>
          <w:tab w:val="center" w:pos="4536"/>
          <w:tab w:val="right" w:pos="9072"/>
        </w:tabs>
        <w:spacing w:after="0" w:line="240" w:lineRule="auto"/>
        <w:rPr>
          <w:rFonts w:eastAsia="Times New Roman" w:cs="Arial"/>
          <w:b/>
          <w:lang w:eastAsia="fr-FR"/>
        </w:rPr>
      </w:pPr>
      <w:r>
        <w:rPr>
          <w:rFonts w:eastAsia="Times New Roman" w:cs="Arial"/>
          <w:b/>
          <w:lang w:eastAsia="fr-FR"/>
        </w:rPr>
        <w:t xml:space="preserve">2. </w:t>
      </w:r>
      <w:r w:rsidRPr="006F39C7">
        <w:rPr>
          <w:rFonts w:eastAsia="Times New Roman" w:cs="Arial"/>
          <w:b/>
          <w:u w:val="single"/>
          <w:lang w:eastAsia="fr-FR"/>
        </w:rPr>
        <w:t>Critères d’éligibilité et de sélection</w:t>
      </w:r>
    </w:p>
    <w:p w14:paraId="2BA49C03" w14:textId="3E278E1A" w:rsidR="00723268" w:rsidRDefault="00723268" w:rsidP="00927063">
      <w:pPr>
        <w:tabs>
          <w:tab w:val="left" w:pos="1134"/>
          <w:tab w:val="center" w:pos="4536"/>
          <w:tab w:val="right" w:pos="9072"/>
        </w:tabs>
        <w:spacing w:after="0" w:line="240" w:lineRule="auto"/>
        <w:rPr>
          <w:rFonts w:eastAsia="Times New Roman" w:cs="Arial"/>
          <w:b/>
          <w:lang w:eastAsia="fr-FR"/>
        </w:rPr>
      </w:pPr>
    </w:p>
    <w:p w14:paraId="0E833E82" w14:textId="72E7494E" w:rsidR="00723268" w:rsidRDefault="00723268" w:rsidP="00927063">
      <w:pPr>
        <w:tabs>
          <w:tab w:val="left" w:pos="1134"/>
          <w:tab w:val="center" w:pos="4536"/>
          <w:tab w:val="right" w:pos="9072"/>
        </w:tabs>
        <w:spacing w:after="0" w:line="240" w:lineRule="auto"/>
        <w:rPr>
          <w:rFonts w:eastAsia="Times New Roman" w:cs="Arial"/>
          <w:b/>
          <w:lang w:eastAsia="fr-FR"/>
        </w:rPr>
      </w:pPr>
      <w:r>
        <w:rPr>
          <w:rFonts w:eastAsia="Times New Roman" w:cs="Arial"/>
          <w:b/>
          <w:lang w:eastAsia="fr-FR"/>
        </w:rPr>
        <w:t>a. Critères d’éligibilité</w:t>
      </w:r>
    </w:p>
    <w:p w14:paraId="054E99EB" w14:textId="1E113127" w:rsidR="00723268" w:rsidRDefault="00723268" w:rsidP="00927063">
      <w:pPr>
        <w:tabs>
          <w:tab w:val="left" w:pos="1134"/>
          <w:tab w:val="center" w:pos="4536"/>
          <w:tab w:val="right" w:pos="9072"/>
        </w:tabs>
        <w:spacing w:after="0" w:line="240" w:lineRule="auto"/>
        <w:rPr>
          <w:rFonts w:eastAsia="Times New Roman" w:cs="Arial"/>
          <w:b/>
          <w:lang w:eastAsia="fr-FR"/>
        </w:rPr>
      </w:pPr>
    </w:p>
    <w:p w14:paraId="0EB3841F" w14:textId="5BCAB9AE" w:rsidR="006F39C7" w:rsidRPr="00EF731F" w:rsidRDefault="00723268" w:rsidP="00EF731F">
      <w:pPr>
        <w:pStyle w:val="ListParagraph"/>
        <w:numPr>
          <w:ilvl w:val="0"/>
          <w:numId w:val="12"/>
        </w:numPr>
        <w:tabs>
          <w:tab w:val="left" w:pos="1134"/>
          <w:tab w:val="center" w:pos="4536"/>
          <w:tab w:val="right" w:pos="9072"/>
        </w:tabs>
        <w:spacing w:after="0" w:line="240" w:lineRule="auto"/>
        <w:rPr>
          <w:rFonts w:eastAsia="Times New Roman" w:cs="Arial"/>
          <w:lang w:eastAsia="fr-FR"/>
        </w:rPr>
      </w:pPr>
      <w:r w:rsidRPr="006F39C7">
        <w:rPr>
          <w:rFonts w:eastAsia="Times New Roman" w:cs="Arial"/>
          <w:lang w:eastAsia="fr-FR"/>
        </w:rPr>
        <w:t>Dans son budget, la commune</w:t>
      </w:r>
      <w:r w:rsidR="00DE35FE">
        <w:rPr>
          <w:rFonts w:eastAsia="Times New Roman" w:cs="Arial"/>
          <w:lang w:eastAsia="fr-FR"/>
        </w:rPr>
        <w:t>, le syndicat</w:t>
      </w:r>
      <w:r w:rsidR="00DE35FE" w:rsidRPr="00DE35FE">
        <w:rPr>
          <w:rFonts w:eastAsia="Times New Roman" w:cs="Arial"/>
          <w:lang w:eastAsia="fr-FR"/>
        </w:rPr>
        <w:t xml:space="preserve"> de communes</w:t>
      </w:r>
      <w:r w:rsidR="00DE35FE">
        <w:rPr>
          <w:rFonts w:eastAsia="Times New Roman" w:cs="Arial"/>
          <w:lang w:eastAsia="fr-FR"/>
        </w:rPr>
        <w:t xml:space="preserve"> ou</w:t>
      </w:r>
      <w:r w:rsidR="00DE35FE" w:rsidRPr="00EF731F">
        <w:rPr>
          <w:rFonts w:eastAsia="Times New Roman" w:cs="Arial"/>
          <w:lang w:eastAsia="fr-FR"/>
        </w:rPr>
        <w:t xml:space="preserve"> </w:t>
      </w:r>
      <w:r w:rsidR="00DE35FE">
        <w:rPr>
          <w:rFonts w:eastAsia="Times New Roman" w:cs="Arial"/>
          <w:lang w:eastAsia="fr-FR"/>
        </w:rPr>
        <w:t>l’</w:t>
      </w:r>
      <w:r w:rsidR="00DE35FE" w:rsidRPr="00EF731F">
        <w:rPr>
          <w:rFonts w:eastAsia="Times New Roman" w:cs="Arial"/>
          <w:lang w:eastAsia="fr-FR"/>
        </w:rPr>
        <w:t>établissement public placé sous la surveillance des communes</w:t>
      </w:r>
      <w:r w:rsidR="006F39C7" w:rsidRPr="00EF731F">
        <w:rPr>
          <w:rFonts w:eastAsia="Times New Roman" w:cs="Arial"/>
          <w:lang w:eastAsia="fr-FR"/>
        </w:rPr>
        <w:t xml:space="preserve"> doit</w:t>
      </w:r>
      <w:r w:rsidRPr="00EF731F">
        <w:rPr>
          <w:rFonts w:eastAsia="Times New Roman" w:cs="Arial"/>
          <w:lang w:eastAsia="fr-FR"/>
        </w:rPr>
        <w:t xml:space="preserve"> prévoi</w:t>
      </w:r>
      <w:r w:rsidR="006F39C7" w:rsidRPr="00EF731F">
        <w:rPr>
          <w:rFonts w:eastAsia="Times New Roman" w:cs="Arial"/>
          <w:lang w:eastAsia="fr-FR"/>
        </w:rPr>
        <w:t>r</w:t>
      </w:r>
      <w:r w:rsidRPr="00EF731F">
        <w:rPr>
          <w:rFonts w:eastAsia="Times New Roman" w:cs="Arial"/>
          <w:lang w:eastAsia="fr-FR"/>
        </w:rPr>
        <w:t xml:space="preserve"> un article « recettes »</w:t>
      </w:r>
      <w:r w:rsidR="006F39C7" w:rsidRPr="00EF731F">
        <w:rPr>
          <w:rFonts w:eastAsia="Times New Roman" w:cs="Arial"/>
          <w:lang w:eastAsia="fr-FR"/>
        </w:rPr>
        <w:t>.</w:t>
      </w:r>
      <w:r w:rsidRPr="00EF731F">
        <w:rPr>
          <w:rFonts w:eastAsia="Times New Roman" w:cs="Arial"/>
          <w:lang w:eastAsia="fr-FR"/>
        </w:rPr>
        <w:t xml:space="preserve"> </w:t>
      </w:r>
    </w:p>
    <w:p w14:paraId="3BC50DCC" w14:textId="78A526FE" w:rsidR="00723268" w:rsidRPr="006F39C7" w:rsidRDefault="00723268" w:rsidP="006F39C7">
      <w:pPr>
        <w:pStyle w:val="ListParagraph"/>
        <w:tabs>
          <w:tab w:val="left" w:pos="1134"/>
          <w:tab w:val="center" w:pos="4536"/>
          <w:tab w:val="right" w:pos="9072"/>
        </w:tabs>
        <w:spacing w:after="0" w:line="240" w:lineRule="auto"/>
        <w:rPr>
          <w:rFonts w:eastAsia="Times New Roman" w:cs="Arial"/>
          <w:lang w:eastAsia="fr-FR"/>
        </w:rPr>
      </w:pPr>
    </w:p>
    <w:p w14:paraId="51923E6F" w14:textId="33070E91" w:rsidR="00464F30" w:rsidRDefault="00723268" w:rsidP="004463A6">
      <w:pPr>
        <w:pStyle w:val="ListParagraph"/>
        <w:numPr>
          <w:ilvl w:val="0"/>
          <w:numId w:val="12"/>
        </w:numPr>
        <w:tabs>
          <w:tab w:val="left" w:pos="1134"/>
          <w:tab w:val="center" w:pos="4536"/>
          <w:tab w:val="right" w:pos="9072"/>
        </w:tabs>
        <w:spacing w:after="0" w:line="240" w:lineRule="auto"/>
        <w:jc w:val="both"/>
        <w:rPr>
          <w:lang w:eastAsia="fr-FR"/>
        </w:rPr>
      </w:pPr>
      <w:r w:rsidRPr="00262F6C">
        <w:rPr>
          <w:rFonts w:eastAsia="Times New Roman" w:cs="Arial"/>
          <w:lang w:eastAsia="fr-FR"/>
        </w:rPr>
        <w:t>Le projet pour lequel le subside est demandé doit s’inscrire</w:t>
      </w:r>
      <w:r>
        <w:rPr>
          <w:rFonts w:eastAsia="Times New Roman" w:cs="Arial"/>
          <w:b/>
          <w:lang w:eastAsia="fr-FR"/>
        </w:rPr>
        <w:t xml:space="preserve"> </w:t>
      </w:r>
      <w:r w:rsidR="00234B83">
        <w:rPr>
          <w:lang w:eastAsia="fr-FR"/>
        </w:rPr>
        <w:t>dans la politique d’intégration poursuivie par le ministère</w:t>
      </w:r>
      <w:r>
        <w:rPr>
          <w:lang w:eastAsia="fr-FR"/>
        </w:rPr>
        <w:t xml:space="preserve"> et considérer le principe selon lequel l’intégration est un processus à double sens qui prend en compte autant les Luxembourgeois que les non-Luxembourgeois. Le projet doit donc présenter une plus-value, autant pour la société d’accueil que pour le public cible. </w:t>
      </w:r>
    </w:p>
    <w:p w14:paraId="191BE999" w14:textId="30C6A5B8" w:rsidR="00B81260" w:rsidRDefault="00234B83" w:rsidP="004463A6">
      <w:pPr>
        <w:pStyle w:val="ListParagraph"/>
        <w:tabs>
          <w:tab w:val="left" w:pos="1134"/>
          <w:tab w:val="center" w:pos="4536"/>
          <w:tab w:val="right" w:pos="9072"/>
        </w:tabs>
        <w:spacing w:after="0" w:line="240" w:lineRule="auto"/>
        <w:jc w:val="both"/>
        <w:rPr>
          <w:lang w:eastAsia="fr-FR"/>
        </w:rPr>
      </w:pPr>
      <w:r>
        <w:rPr>
          <w:lang w:eastAsia="fr-FR"/>
        </w:rPr>
        <w:t>Dans cet ordre d’idées, il convien</w:t>
      </w:r>
      <w:r w:rsidR="00B81260">
        <w:rPr>
          <w:lang w:eastAsia="fr-FR"/>
        </w:rPr>
        <w:t>t de préciser que seront traité</w:t>
      </w:r>
      <w:r>
        <w:rPr>
          <w:lang w:eastAsia="fr-FR"/>
        </w:rPr>
        <w:t>s de façon prioritai</w:t>
      </w:r>
      <w:r w:rsidR="00B81260">
        <w:rPr>
          <w:lang w:eastAsia="fr-FR"/>
        </w:rPr>
        <w:t>re les projets</w:t>
      </w:r>
      <w:r>
        <w:rPr>
          <w:lang w:eastAsia="fr-FR"/>
        </w:rPr>
        <w:t xml:space="preserve"> </w:t>
      </w:r>
      <w:r w:rsidR="00B81260">
        <w:rPr>
          <w:lang w:eastAsia="fr-FR"/>
        </w:rPr>
        <w:t>s’inscrivant dans la durée et qui impliquent plusieurs acteurs actifs sur le plan communal et/ou priorisent une approche transversale de l’intégration, c’est-à-dire qui touchent plusieurs domaines de la vie de la commune.</w:t>
      </w:r>
      <w:r w:rsidR="00927063" w:rsidRPr="00927063">
        <w:rPr>
          <w:lang w:eastAsia="fr-FR"/>
        </w:rPr>
        <w:t xml:space="preserve"> </w:t>
      </w:r>
    </w:p>
    <w:p w14:paraId="1AC0E5AB" w14:textId="77777777" w:rsidR="00464F30" w:rsidRDefault="00464F30" w:rsidP="00262F6C">
      <w:pPr>
        <w:pStyle w:val="ListParagraph"/>
        <w:tabs>
          <w:tab w:val="left" w:pos="1134"/>
          <w:tab w:val="center" w:pos="4536"/>
          <w:tab w:val="right" w:pos="9072"/>
        </w:tabs>
        <w:spacing w:after="0" w:line="240" w:lineRule="auto"/>
        <w:rPr>
          <w:lang w:eastAsia="fr-FR"/>
        </w:rPr>
      </w:pPr>
    </w:p>
    <w:p w14:paraId="6AF7232A" w14:textId="5094B01F" w:rsidR="00927063" w:rsidRPr="00262F6C" w:rsidRDefault="00927063" w:rsidP="004463A6">
      <w:pPr>
        <w:pStyle w:val="ListParagraph"/>
        <w:numPr>
          <w:ilvl w:val="0"/>
          <w:numId w:val="12"/>
        </w:numPr>
        <w:tabs>
          <w:tab w:val="left" w:pos="1134"/>
          <w:tab w:val="center" w:pos="4536"/>
          <w:tab w:val="right" w:pos="9072"/>
        </w:tabs>
        <w:spacing w:after="0"/>
        <w:jc w:val="both"/>
        <w:rPr>
          <w:rFonts w:eastAsia="Times New Roman" w:cs="Arial"/>
          <w:lang w:eastAsia="fr-FR"/>
        </w:rPr>
      </w:pPr>
      <w:r w:rsidRPr="00262F6C">
        <w:rPr>
          <w:rFonts w:eastAsia="Times New Roman" w:cs="Arial"/>
          <w:lang w:eastAsia="fr-FR"/>
        </w:rPr>
        <w:t>Un cofinancement est accordé à hauteur d</w:t>
      </w:r>
      <w:r w:rsidR="009C2788" w:rsidRPr="00262F6C">
        <w:rPr>
          <w:rFonts w:eastAsia="Times New Roman" w:cs="Arial"/>
          <w:lang w:eastAsia="fr-FR"/>
        </w:rPr>
        <w:t>’un</w:t>
      </w:r>
      <w:r w:rsidRPr="00262F6C">
        <w:rPr>
          <w:rFonts w:eastAsia="Times New Roman" w:cs="Arial"/>
          <w:lang w:eastAsia="fr-FR"/>
        </w:rPr>
        <w:t xml:space="preserve"> maximum </w:t>
      </w:r>
      <w:r w:rsidR="004D58A1" w:rsidRPr="00262F6C">
        <w:rPr>
          <w:rFonts w:eastAsia="Times New Roman" w:cs="Arial"/>
          <w:lang w:eastAsia="fr-FR"/>
        </w:rPr>
        <w:t xml:space="preserve">de </w:t>
      </w:r>
      <w:r w:rsidR="001D2CEF" w:rsidRPr="00262F6C">
        <w:rPr>
          <w:rFonts w:eastAsia="Times New Roman" w:cs="Arial"/>
          <w:lang w:eastAsia="fr-FR"/>
        </w:rPr>
        <w:t>75</w:t>
      </w:r>
      <w:r w:rsidRPr="00262F6C">
        <w:rPr>
          <w:rFonts w:eastAsia="Times New Roman" w:cs="Arial"/>
          <w:lang w:eastAsia="fr-FR"/>
        </w:rPr>
        <w:t>% des frais identifiés comme éligibles, sur base d’un budget prévisionnel</w:t>
      </w:r>
      <w:r w:rsidR="00464F30">
        <w:rPr>
          <w:rFonts w:eastAsia="Times New Roman" w:cs="Arial"/>
          <w:lang w:eastAsia="fr-FR"/>
        </w:rPr>
        <w:t xml:space="preserve"> (annexe 2)</w:t>
      </w:r>
      <w:r w:rsidRPr="00262F6C">
        <w:rPr>
          <w:rFonts w:eastAsia="Times New Roman" w:cs="Arial"/>
          <w:lang w:eastAsia="fr-FR"/>
        </w:rPr>
        <w:t xml:space="preserve"> remis </w:t>
      </w:r>
      <w:r w:rsidR="005C62E2" w:rsidRPr="00262F6C">
        <w:rPr>
          <w:rFonts w:eastAsia="Times New Roman" w:cs="Arial"/>
          <w:lang w:eastAsia="fr-FR"/>
        </w:rPr>
        <w:t>au ministère</w:t>
      </w:r>
      <w:r w:rsidRPr="00262F6C">
        <w:rPr>
          <w:rFonts w:eastAsia="Times New Roman" w:cs="Arial"/>
          <w:lang w:eastAsia="fr-FR"/>
        </w:rPr>
        <w:t>, et ce dans la limite des fonds</w:t>
      </w:r>
      <w:r w:rsidR="002F4863" w:rsidRPr="00262F6C">
        <w:rPr>
          <w:rFonts w:eastAsia="Times New Roman" w:cs="Arial"/>
          <w:lang w:eastAsia="fr-FR"/>
        </w:rPr>
        <w:t xml:space="preserve"> disponibles</w:t>
      </w:r>
      <w:r w:rsidR="00FF232A" w:rsidRPr="00262F6C">
        <w:rPr>
          <w:rFonts w:eastAsia="Times New Roman" w:cs="Arial"/>
          <w:lang w:eastAsia="fr-FR"/>
        </w:rPr>
        <w:t xml:space="preserve"> pour l’année</w:t>
      </w:r>
      <w:r w:rsidR="00464F30">
        <w:rPr>
          <w:rFonts w:eastAsia="Times New Roman" w:cs="Arial"/>
          <w:lang w:eastAsia="fr-FR"/>
        </w:rPr>
        <w:t xml:space="preserve"> budgétaire</w:t>
      </w:r>
      <w:r w:rsidR="00FF232A" w:rsidRPr="00262F6C">
        <w:rPr>
          <w:rFonts w:eastAsia="Times New Roman" w:cs="Arial"/>
          <w:lang w:eastAsia="fr-FR"/>
        </w:rPr>
        <w:t xml:space="preserve"> 2020</w:t>
      </w:r>
      <w:r w:rsidR="002F4863" w:rsidRPr="00262F6C">
        <w:rPr>
          <w:rFonts w:eastAsia="Times New Roman" w:cs="Arial"/>
          <w:lang w:eastAsia="fr-FR"/>
        </w:rPr>
        <w:t>.</w:t>
      </w:r>
      <w:r w:rsidRPr="00262F6C">
        <w:rPr>
          <w:rFonts w:eastAsia="Times New Roman" w:cs="Arial"/>
          <w:lang w:eastAsia="fr-FR"/>
        </w:rPr>
        <w:t xml:space="preserve"> </w:t>
      </w:r>
      <w:r w:rsidR="00234B83" w:rsidRPr="00262F6C">
        <w:rPr>
          <w:rFonts w:eastAsia="Times New Roman" w:cs="Arial"/>
          <w:lang w:eastAsia="fr-FR"/>
        </w:rPr>
        <w:t xml:space="preserve">Il importe de souligner que le ministère limitera désormais ses contributions à l’organisation </w:t>
      </w:r>
      <w:r w:rsidR="00234B83" w:rsidRPr="006F39C7">
        <w:rPr>
          <w:rFonts w:eastAsia="Times New Roman" w:cs="Arial"/>
          <w:lang w:eastAsia="fr-FR"/>
        </w:rPr>
        <w:t xml:space="preserve">de </w:t>
      </w:r>
      <w:r w:rsidR="00234B83" w:rsidRPr="006F39C7">
        <w:rPr>
          <w:rFonts w:eastAsia="Times New Roman" w:cs="Arial"/>
          <w:u w:val="single"/>
          <w:lang w:eastAsia="fr-FR"/>
        </w:rPr>
        <w:t>fêtes</w:t>
      </w:r>
      <w:r w:rsidR="00234B83" w:rsidRPr="00262F6C">
        <w:rPr>
          <w:rFonts w:eastAsia="Times New Roman" w:cs="Arial"/>
          <w:lang w:eastAsia="fr-FR"/>
        </w:rPr>
        <w:t xml:space="preserve"> à un montant de 5.000€.</w:t>
      </w:r>
    </w:p>
    <w:p w14:paraId="3BB63155" w14:textId="77777777" w:rsidR="00C03038" w:rsidRDefault="00C03038" w:rsidP="00927063">
      <w:pPr>
        <w:tabs>
          <w:tab w:val="left" w:pos="1134"/>
          <w:tab w:val="center" w:pos="4536"/>
          <w:tab w:val="right" w:pos="9072"/>
        </w:tabs>
        <w:spacing w:after="0"/>
        <w:jc w:val="both"/>
        <w:rPr>
          <w:rFonts w:eastAsia="Times New Roman" w:cs="Arial"/>
          <w:lang w:eastAsia="fr-FR"/>
        </w:rPr>
      </w:pPr>
    </w:p>
    <w:p w14:paraId="578F6404" w14:textId="6A90D21D" w:rsidR="00C03038" w:rsidRPr="00262F6C" w:rsidRDefault="00C03038" w:rsidP="00262F6C">
      <w:pPr>
        <w:pStyle w:val="ListParagraph"/>
        <w:numPr>
          <w:ilvl w:val="0"/>
          <w:numId w:val="12"/>
        </w:numPr>
        <w:tabs>
          <w:tab w:val="left" w:pos="1134"/>
          <w:tab w:val="center" w:pos="4536"/>
          <w:tab w:val="right" w:pos="9072"/>
        </w:tabs>
        <w:spacing w:after="0"/>
        <w:jc w:val="both"/>
        <w:rPr>
          <w:rFonts w:eastAsia="Times New Roman" w:cs="Arial"/>
          <w:lang w:eastAsia="fr-FR"/>
        </w:rPr>
      </w:pPr>
      <w:r w:rsidRPr="00262F6C">
        <w:rPr>
          <w:rFonts w:eastAsia="Times New Roman" w:cs="Arial"/>
          <w:lang w:eastAsia="fr-FR"/>
        </w:rPr>
        <w:t>Le</w:t>
      </w:r>
      <w:r w:rsidR="00CF4BAB" w:rsidRPr="00262F6C">
        <w:rPr>
          <w:rFonts w:eastAsia="Times New Roman" w:cs="Arial"/>
          <w:lang w:eastAsia="fr-FR"/>
        </w:rPr>
        <w:t xml:space="preserve"> cofinancement destiné aux</w:t>
      </w:r>
      <w:r w:rsidRPr="00262F6C">
        <w:rPr>
          <w:rFonts w:eastAsia="Times New Roman" w:cs="Arial"/>
          <w:lang w:eastAsia="fr-FR"/>
        </w:rPr>
        <w:t xml:space="preserve"> communes souhaitant réaliser un Plan communal d’intégration </w:t>
      </w:r>
      <w:r w:rsidR="00CF4BAB" w:rsidRPr="00262F6C">
        <w:rPr>
          <w:rFonts w:eastAsia="Times New Roman" w:cs="Arial"/>
          <w:lang w:eastAsia="fr-FR"/>
        </w:rPr>
        <w:t>(PCI) est plafonné à 25</w:t>
      </w:r>
      <w:r w:rsidR="001C0553" w:rsidRPr="00262F6C">
        <w:rPr>
          <w:rFonts w:eastAsia="Times New Roman" w:cs="Arial"/>
          <w:lang w:eastAsia="fr-FR"/>
        </w:rPr>
        <w:t xml:space="preserve"> </w:t>
      </w:r>
      <w:r w:rsidR="00CF4BAB" w:rsidRPr="00262F6C">
        <w:rPr>
          <w:rFonts w:eastAsia="Times New Roman" w:cs="Arial"/>
          <w:lang w:eastAsia="fr-FR"/>
        </w:rPr>
        <w:t>000€</w:t>
      </w:r>
      <w:r w:rsidR="005A1E87" w:rsidRPr="00262F6C">
        <w:rPr>
          <w:rFonts w:eastAsia="Times New Roman" w:cs="Arial"/>
          <w:lang w:eastAsia="fr-FR"/>
        </w:rPr>
        <w:t xml:space="preserve"> par commune</w:t>
      </w:r>
      <w:r w:rsidR="00CF4BAB" w:rsidRPr="00262F6C">
        <w:rPr>
          <w:rFonts w:eastAsia="Times New Roman" w:cs="Arial"/>
          <w:lang w:eastAsia="fr-FR"/>
        </w:rPr>
        <w:t xml:space="preserve">. </w:t>
      </w:r>
    </w:p>
    <w:p w14:paraId="50D987B0" w14:textId="41C12F5D" w:rsidR="00A02E13" w:rsidRDefault="00A02E13" w:rsidP="00927063">
      <w:pPr>
        <w:tabs>
          <w:tab w:val="left" w:pos="1134"/>
          <w:tab w:val="center" w:pos="4536"/>
          <w:tab w:val="right" w:pos="9072"/>
        </w:tabs>
        <w:spacing w:after="0"/>
        <w:jc w:val="both"/>
        <w:rPr>
          <w:rFonts w:eastAsia="Times New Roman" w:cs="Arial"/>
          <w:lang w:eastAsia="fr-FR"/>
        </w:rPr>
      </w:pPr>
    </w:p>
    <w:p w14:paraId="4BA0EBB9" w14:textId="04A45D04" w:rsidR="0088458D" w:rsidRPr="00EF731F" w:rsidRDefault="009D2DC8" w:rsidP="00EF731F">
      <w:pPr>
        <w:pStyle w:val="ListParagraph"/>
        <w:numPr>
          <w:ilvl w:val="0"/>
          <w:numId w:val="12"/>
        </w:numPr>
        <w:tabs>
          <w:tab w:val="left" w:pos="1134"/>
          <w:tab w:val="center" w:pos="4536"/>
          <w:tab w:val="right" w:pos="9072"/>
        </w:tabs>
        <w:spacing w:after="0"/>
        <w:jc w:val="both"/>
        <w:rPr>
          <w:rFonts w:eastAsia="Times New Roman" w:cs="Arial"/>
          <w:lang w:eastAsia="fr-FR"/>
        </w:rPr>
      </w:pPr>
      <w:r w:rsidRPr="00262F6C">
        <w:rPr>
          <w:rFonts w:eastAsia="Times New Roman" w:cs="Arial"/>
          <w:lang w:eastAsia="fr-FR"/>
        </w:rPr>
        <w:t xml:space="preserve">Pour des questions de transparence </w:t>
      </w:r>
      <w:r w:rsidR="00234B83" w:rsidRPr="00262F6C">
        <w:rPr>
          <w:rFonts w:eastAsia="Times New Roman" w:cs="Arial"/>
          <w:lang w:eastAsia="fr-FR"/>
        </w:rPr>
        <w:t xml:space="preserve">et de coordination </w:t>
      </w:r>
      <w:r w:rsidRPr="00262F6C">
        <w:rPr>
          <w:rFonts w:eastAsia="Times New Roman" w:cs="Arial"/>
          <w:lang w:eastAsia="fr-FR"/>
        </w:rPr>
        <w:t xml:space="preserve">au niveau de </w:t>
      </w:r>
      <w:r w:rsidR="00DE35FE">
        <w:rPr>
          <w:rFonts w:eastAsia="Times New Roman" w:cs="Arial"/>
          <w:lang w:eastAsia="fr-FR"/>
        </w:rPr>
        <w:t>la</w:t>
      </w:r>
      <w:r w:rsidRPr="00262F6C">
        <w:rPr>
          <w:rFonts w:eastAsia="Times New Roman" w:cs="Arial"/>
          <w:lang w:eastAsia="fr-FR"/>
        </w:rPr>
        <w:t xml:space="preserve"> commune</w:t>
      </w:r>
      <w:r w:rsidR="00DE35FE">
        <w:rPr>
          <w:rFonts w:eastAsia="Times New Roman" w:cs="Arial"/>
          <w:lang w:eastAsia="fr-FR"/>
        </w:rPr>
        <w:t>,</w:t>
      </w:r>
      <w:r w:rsidR="00DE35FE" w:rsidRPr="00DE35FE">
        <w:t xml:space="preserve"> </w:t>
      </w:r>
      <w:r w:rsidR="00A02E13" w:rsidRPr="00EF731F">
        <w:rPr>
          <w:rFonts w:eastAsia="Times New Roman" w:cs="Arial"/>
          <w:lang w:eastAsia="fr-FR"/>
        </w:rPr>
        <w:t>il y a lieu de définir au préalable l’objet de la demande ainsi que la partie requérante au niveau de la commune (collège échevinal, collège communal, commission consultative communale de l’intégration</w:t>
      </w:r>
      <w:r w:rsidR="00DE35FE">
        <w:rPr>
          <w:rFonts w:eastAsia="Times New Roman" w:cs="Arial"/>
          <w:lang w:eastAsia="fr-FR"/>
        </w:rPr>
        <w:t xml:space="preserve">, </w:t>
      </w:r>
      <w:r w:rsidR="00A02E13" w:rsidRPr="00EF731F">
        <w:rPr>
          <w:rFonts w:eastAsia="Times New Roman" w:cs="Arial"/>
          <w:lang w:eastAsia="fr-FR"/>
        </w:rPr>
        <w:t>l’autorité communale compétente dans son ensemble</w:t>
      </w:r>
      <w:r w:rsidR="00DE35FE">
        <w:rPr>
          <w:rFonts w:eastAsia="Times New Roman" w:cs="Arial"/>
          <w:lang w:eastAsia="fr-FR"/>
        </w:rPr>
        <w:t>, syndicat</w:t>
      </w:r>
      <w:r w:rsidR="00DE35FE" w:rsidRPr="00DE35FE">
        <w:rPr>
          <w:rFonts w:eastAsia="Times New Roman" w:cs="Arial"/>
          <w:lang w:eastAsia="fr-FR"/>
        </w:rPr>
        <w:t xml:space="preserve"> de communes,</w:t>
      </w:r>
      <w:r w:rsidR="00DE35FE">
        <w:rPr>
          <w:rFonts w:eastAsia="Times New Roman" w:cs="Arial"/>
          <w:lang w:eastAsia="fr-FR"/>
        </w:rPr>
        <w:t xml:space="preserve"> ou bien un </w:t>
      </w:r>
      <w:r w:rsidR="00DE35FE" w:rsidRPr="00EF731F">
        <w:rPr>
          <w:rFonts w:eastAsia="Times New Roman" w:cs="Arial"/>
          <w:lang w:eastAsia="fr-FR"/>
        </w:rPr>
        <w:t>établissement public placé sous la surveillance des communes</w:t>
      </w:r>
      <w:r w:rsidR="00A02E13" w:rsidRPr="00EF731F">
        <w:rPr>
          <w:rFonts w:eastAsia="Times New Roman" w:cs="Arial"/>
          <w:lang w:eastAsia="fr-FR"/>
        </w:rPr>
        <w:t xml:space="preserve">).  </w:t>
      </w:r>
    </w:p>
    <w:p w14:paraId="16BB9566" w14:textId="17187749" w:rsidR="000F3639" w:rsidRDefault="000F3639" w:rsidP="00262F6C">
      <w:pPr>
        <w:ind w:left="360"/>
        <w:rPr>
          <w:rFonts w:eastAsia="Times New Roman" w:cs="Arial"/>
          <w:lang w:eastAsia="fr-FR"/>
        </w:rPr>
      </w:pPr>
    </w:p>
    <w:p w14:paraId="20A4E764" w14:textId="082A8B85" w:rsidR="000F3639" w:rsidRPr="00262F6C" w:rsidRDefault="000F3639" w:rsidP="00262F6C">
      <w:pPr>
        <w:pBdr>
          <w:top w:val="single" w:sz="4" w:space="1" w:color="auto"/>
          <w:left w:val="single" w:sz="4" w:space="4" w:color="auto"/>
          <w:bottom w:val="single" w:sz="4" w:space="1" w:color="auto"/>
          <w:right w:val="single" w:sz="4" w:space="4" w:color="auto"/>
        </w:pBdr>
        <w:ind w:left="360"/>
        <w:jc w:val="center"/>
        <w:rPr>
          <w:rFonts w:eastAsia="Times New Roman" w:cs="Arial"/>
          <w:b/>
          <w:lang w:eastAsia="fr-FR"/>
        </w:rPr>
      </w:pPr>
      <w:r w:rsidRPr="00262F6C">
        <w:rPr>
          <w:rFonts w:eastAsia="Times New Roman" w:cs="Arial"/>
          <w:b/>
          <w:lang w:eastAsia="fr-FR"/>
        </w:rPr>
        <w:t xml:space="preserve">Eligibilité des dépenses </w:t>
      </w:r>
    </w:p>
    <w:p w14:paraId="63372908" w14:textId="1484E945" w:rsidR="001964BA" w:rsidRDefault="001964BA" w:rsidP="00262F6C">
      <w:pPr>
        <w:pBdr>
          <w:top w:val="single" w:sz="4" w:space="1" w:color="auto"/>
          <w:left w:val="single" w:sz="4" w:space="4" w:color="auto"/>
          <w:bottom w:val="single" w:sz="4" w:space="1" w:color="auto"/>
          <w:right w:val="single" w:sz="4" w:space="4" w:color="auto"/>
        </w:pBdr>
        <w:ind w:left="360"/>
        <w:rPr>
          <w:rFonts w:eastAsia="Times New Roman" w:cs="Arial"/>
          <w:lang w:eastAsia="fr-FR"/>
        </w:rPr>
      </w:pPr>
      <w:r>
        <w:rPr>
          <w:rFonts w:eastAsia="Times New Roman" w:cs="Arial"/>
          <w:lang w:eastAsia="fr-FR"/>
        </w:rPr>
        <w:t>Sont considérées comme éligibles, les dépenses encourues entre le 1.1.2020 et le 31.12.2020, qui sont :</w:t>
      </w:r>
    </w:p>
    <w:p w14:paraId="49F5C0A0" w14:textId="333E900A" w:rsidR="001964BA" w:rsidRDefault="001964BA" w:rsidP="00262F6C">
      <w:pPr>
        <w:pStyle w:val="ListParagraph"/>
        <w:numPr>
          <w:ilvl w:val="0"/>
          <w:numId w:val="16"/>
        </w:numPr>
        <w:pBdr>
          <w:top w:val="single" w:sz="4" w:space="1" w:color="auto"/>
          <w:left w:val="single" w:sz="4" w:space="4" w:color="auto"/>
          <w:bottom w:val="single" w:sz="4" w:space="1" w:color="auto"/>
          <w:right w:val="single" w:sz="4" w:space="4" w:color="auto"/>
        </w:pBdr>
        <w:rPr>
          <w:rFonts w:eastAsia="Times New Roman" w:cs="Arial"/>
          <w:lang w:eastAsia="fr-FR"/>
        </w:rPr>
      </w:pPr>
      <w:r>
        <w:rPr>
          <w:rFonts w:eastAsia="Times New Roman" w:cs="Arial"/>
          <w:lang w:eastAsia="fr-FR"/>
        </w:rPr>
        <w:t>En relation directe avec le projet ;</w:t>
      </w:r>
    </w:p>
    <w:p w14:paraId="0228A415" w14:textId="48183FAE" w:rsidR="001964BA" w:rsidRDefault="001964BA" w:rsidP="00262F6C">
      <w:pPr>
        <w:pStyle w:val="ListParagraph"/>
        <w:numPr>
          <w:ilvl w:val="0"/>
          <w:numId w:val="16"/>
        </w:numPr>
        <w:pBdr>
          <w:top w:val="single" w:sz="4" w:space="1" w:color="auto"/>
          <w:left w:val="single" w:sz="4" w:space="4" w:color="auto"/>
          <w:bottom w:val="single" w:sz="4" w:space="1" w:color="auto"/>
          <w:right w:val="single" w:sz="4" w:space="4" w:color="auto"/>
        </w:pBdr>
        <w:rPr>
          <w:rFonts w:eastAsia="Times New Roman" w:cs="Arial"/>
          <w:lang w:eastAsia="fr-FR"/>
        </w:rPr>
      </w:pPr>
      <w:r>
        <w:rPr>
          <w:rFonts w:eastAsia="Times New Roman" w:cs="Arial"/>
          <w:lang w:eastAsia="fr-FR"/>
        </w:rPr>
        <w:t>Nécessaires pour mener à bien les activités du projet concerné ;</w:t>
      </w:r>
    </w:p>
    <w:p w14:paraId="654FDE82" w14:textId="77A323B9" w:rsidR="001964BA" w:rsidRDefault="001964BA" w:rsidP="00262F6C">
      <w:pPr>
        <w:pStyle w:val="ListParagraph"/>
        <w:numPr>
          <w:ilvl w:val="0"/>
          <w:numId w:val="16"/>
        </w:numPr>
        <w:pBdr>
          <w:top w:val="single" w:sz="4" w:space="1" w:color="auto"/>
          <w:left w:val="single" w:sz="4" w:space="4" w:color="auto"/>
          <w:bottom w:val="single" w:sz="4" w:space="1" w:color="auto"/>
          <w:right w:val="single" w:sz="4" w:space="4" w:color="auto"/>
        </w:pBdr>
        <w:rPr>
          <w:rFonts w:eastAsia="Times New Roman" w:cs="Arial"/>
          <w:lang w:eastAsia="fr-FR"/>
        </w:rPr>
      </w:pPr>
      <w:r>
        <w:rPr>
          <w:rFonts w:eastAsia="Times New Roman" w:cs="Arial"/>
          <w:lang w:eastAsia="fr-FR"/>
        </w:rPr>
        <w:t>Raisonnables et respectant les principes de bonne gestion financière, en particulier celui de l’optimisation des ressources et le rapport coût-efficacité, notamment en fonction du nombre de personnes concernées par le projet ;</w:t>
      </w:r>
    </w:p>
    <w:p w14:paraId="489E689E" w14:textId="24EE09D1" w:rsidR="001964BA" w:rsidRDefault="001964BA" w:rsidP="00262F6C">
      <w:pPr>
        <w:pStyle w:val="ListParagraph"/>
        <w:numPr>
          <w:ilvl w:val="0"/>
          <w:numId w:val="16"/>
        </w:numPr>
        <w:pBdr>
          <w:top w:val="single" w:sz="4" w:space="1" w:color="auto"/>
          <w:left w:val="single" w:sz="4" w:space="4" w:color="auto"/>
          <w:bottom w:val="single" w:sz="4" w:space="1" w:color="auto"/>
          <w:right w:val="single" w:sz="4" w:space="4" w:color="auto"/>
        </w:pBdr>
        <w:rPr>
          <w:rFonts w:eastAsia="Times New Roman" w:cs="Arial"/>
          <w:lang w:eastAsia="fr-FR"/>
        </w:rPr>
      </w:pPr>
      <w:r>
        <w:rPr>
          <w:rFonts w:eastAsia="Times New Roman" w:cs="Arial"/>
          <w:lang w:eastAsia="fr-FR"/>
        </w:rPr>
        <w:t>Comptabilisées, identifiables et contrôlables ;</w:t>
      </w:r>
    </w:p>
    <w:p w14:paraId="5AFB67D9" w14:textId="2937A19C" w:rsidR="001964BA" w:rsidRDefault="001964BA" w:rsidP="00262F6C">
      <w:pPr>
        <w:pStyle w:val="ListParagraph"/>
        <w:numPr>
          <w:ilvl w:val="0"/>
          <w:numId w:val="16"/>
        </w:numPr>
        <w:pBdr>
          <w:top w:val="single" w:sz="4" w:space="1" w:color="auto"/>
          <w:left w:val="single" w:sz="4" w:space="4" w:color="auto"/>
          <w:bottom w:val="single" w:sz="4" w:space="1" w:color="auto"/>
          <w:right w:val="single" w:sz="4" w:space="4" w:color="auto"/>
        </w:pBdr>
        <w:rPr>
          <w:rFonts w:eastAsia="Times New Roman" w:cs="Arial"/>
          <w:lang w:eastAsia="fr-FR"/>
        </w:rPr>
      </w:pPr>
      <w:r>
        <w:rPr>
          <w:rFonts w:eastAsia="Times New Roman" w:cs="Arial"/>
          <w:lang w:eastAsia="fr-FR"/>
        </w:rPr>
        <w:t>Dûment documentées dès le début du projet ;</w:t>
      </w:r>
    </w:p>
    <w:p w14:paraId="563F9B0A" w14:textId="5EFE2854" w:rsidR="001964BA" w:rsidRPr="00262F6C" w:rsidRDefault="001964BA" w:rsidP="00262F6C">
      <w:pPr>
        <w:pStyle w:val="ListParagraph"/>
        <w:numPr>
          <w:ilvl w:val="0"/>
          <w:numId w:val="16"/>
        </w:numPr>
        <w:pBdr>
          <w:top w:val="single" w:sz="4" w:space="1" w:color="auto"/>
          <w:left w:val="single" w:sz="4" w:space="4" w:color="auto"/>
          <w:bottom w:val="single" w:sz="4" w:space="1" w:color="auto"/>
          <w:right w:val="single" w:sz="4" w:space="4" w:color="auto"/>
        </w:pBdr>
        <w:rPr>
          <w:rFonts w:eastAsia="Times New Roman" w:cs="Arial"/>
          <w:lang w:eastAsia="fr-FR"/>
        </w:rPr>
      </w:pPr>
      <w:r>
        <w:rPr>
          <w:rFonts w:eastAsia="Times New Roman" w:cs="Arial"/>
          <w:lang w:eastAsia="fr-FR"/>
        </w:rPr>
        <w:t>Encourues et acquittées pendant la période prévue par le projet.</w:t>
      </w:r>
    </w:p>
    <w:p w14:paraId="49961888" w14:textId="43A8AE96" w:rsidR="00D706A2" w:rsidRDefault="00D706A2" w:rsidP="00262F6C">
      <w:pPr>
        <w:pStyle w:val="ListParagraph"/>
        <w:tabs>
          <w:tab w:val="left" w:pos="1134"/>
          <w:tab w:val="center" w:pos="4536"/>
          <w:tab w:val="right" w:pos="9072"/>
        </w:tabs>
        <w:spacing w:after="0"/>
        <w:jc w:val="both"/>
        <w:rPr>
          <w:rFonts w:eastAsia="Times New Roman" w:cs="Arial"/>
          <w:lang w:eastAsia="fr-FR"/>
        </w:rPr>
      </w:pPr>
    </w:p>
    <w:p w14:paraId="393E8CA8" w14:textId="77777777" w:rsidR="001964BA" w:rsidRPr="00262F6C" w:rsidRDefault="001964BA" w:rsidP="00262F6C">
      <w:pPr>
        <w:pStyle w:val="ListParagraph"/>
        <w:tabs>
          <w:tab w:val="left" w:pos="1134"/>
          <w:tab w:val="center" w:pos="4536"/>
          <w:tab w:val="right" w:pos="9072"/>
        </w:tabs>
        <w:spacing w:after="0"/>
        <w:jc w:val="both"/>
        <w:rPr>
          <w:rFonts w:eastAsia="Times New Roman" w:cs="Arial"/>
          <w:lang w:eastAsia="fr-FR"/>
        </w:rPr>
      </w:pPr>
    </w:p>
    <w:p w14:paraId="2C7CBD9A" w14:textId="1BE21734" w:rsidR="0088458D" w:rsidRPr="00262F6C" w:rsidRDefault="0088458D" w:rsidP="006F39C7">
      <w:pPr>
        <w:spacing w:after="100" w:afterAutospacing="1"/>
        <w:rPr>
          <w:b/>
          <w:u w:val="single"/>
        </w:rPr>
      </w:pPr>
      <w:r>
        <w:rPr>
          <w:b/>
          <w:u w:val="single"/>
        </w:rPr>
        <w:t xml:space="preserve">b. </w:t>
      </w:r>
      <w:r w:rsidRPr="00262F6C">
        <w:rPr>
          <w:b/>
          <w:u w:val="single"/>
        </w:rPr>
        <w:t>Critères</w:t>
      </w:r>
      <w:r>
        <w:rPr>
          <w:b/>
          <w:u w:val="single"/>
        </w:rPr>
        <w:t xml:space="preserve"> de sélection</w:t>
      </w:r>
    </w:p>
    <w:p w14:paraId="051FE4A0" w14:textId="77777777" w:rsidR="0088458D" w:rsidRDefault="0088458D" w:rsidP="00262F6C">
      <w:pPr>
        <w:spacing w:after="100" w:afterAutospacing="1"/>
        <w:jc w:val="both"/>
      </w:pPr>
      <w:r w:rsidRPr="00927063">
        <w:t>Pour pouvoir bénéficier d’un cofinancement, les actions</w:t>
      </w:r>
      <w:r>
        <w:t xml:space="preserve"> ou projets soumis</w:t>
      </w:r>
      <w:r w:rsidRPr="00927063">
        <w:t xml:space="preserve"> devront répondre</w:t>
      </w:r>
      <w:r>
        <w:t>,</w:t>
      </w:r>
      <w:r w:rsidRPr="00927063">
        <w:t xml:space="preserve"> dans la mesure du possible</w:t>
      </w:r>
      <w:r>
        <w:t>,</w:t>
      </w:r>
      <w:r w:rsidRPr="00927063">
        <w:t xml:space="preserve"> aux critères suivants :</w:t>
      </w:r>
    </w:p>
    <w:p w14:paraId="3D4F867B" w14:textId="30910AC4" w:rsidR="0088458D" w:rsidRPr="00262F6C" w:rsidRDefault="0088458D" w:rsidP="00EF731F">
      <w:pPr>
        <w:pStyle w:val="ListParagraph"/>
        <w:numPr>
          <w:ilvl w:val="0"/>
          <w:numId w:val="13"/>
        </w:numPr>
        <w:spacing w:after="100" w:afterAutospacing="1"/>
        <w:jc w:val="both"/>
      </w:pPr>
      <w:r w:rsidRPr="00EF731F">
        <w:rPr>
          <w:rFonts w:eastAsia="Times New Roman" w:cs="Calibri"/>
          <w:b/>
          <w:lang w:val="fr-LU" w:eastAsia="ar-SA"/>
        </w:rPr>
        <w:t>Situation et besoins en la matière :</w:t>
      </w:r>
      <w:r w:rsidRPr="00EF731F">
        <w:rPr>
          <w:rFonts w:eastAsia="Times New Roman" w:cs="Calibri"/>
          <w:lang w:val="fr-LU" w:eastAsia="ar-SA"/>
        </w:rPr>
        <w:t xml:space="preserve"> Pertinence du projet au regard de la situation et des besoins du Luxembourg</w:t>
      </w:r>
      <w:r w:rsidRPr="006B6AAE">
        <w:t xml:space="preserve"> </w:t>
      </w:r>
      <w:r w:rsidRPr="00EF731F">
        <w:rPr>
          <w:rFonts w:eastAsia="Times New Roman" w:cs="Calibri"/>
          <w:lang w:val="fr-LU" w:eastAsia="ar-SA"/>
        </w:rPr>
        <w:t>et de la commune</w:t>
      </w:r>
      <w:r w:rsidR="00EF731F" w:rsidRPr="00EF731F">
        <w:rPr>
          <w:rFonts w:eastAsia="Times New Roman" w:cs="Calibri"/>
          <w:lang w:val="fr-LU" w:eastAsia="ar-SA"/>
        </w:rPr>
        <w:t xml:space="preserve"> / des communes</w:t>
      </w:r>
      <w:r w:rsidR="00EF731F">
        <w:rPr>
          <w:rFonts w:eastAsia="Times New Roman" w:cs="Calibri"/>
          <w:lang w:val="fr-LU" w:eastAsia="ar-SA"/>
        </w:rPr>
        <w:t xml:space="preserve"> en</w:t>
      </w:r>
      <w:r w:rsidRPr="00EF731F">
        <w:rPr>
          <w:rFonts w:eastAsia="Times New Roman" w:cs="Calibri"/>
          <w:lang w:val="fr-LU" w:eastAsia="ar-SA"/>
        </w:rPr>
        <w:t xml:space="preserve"> question (projet initié à partir d’un état des lieux, projet impliquant les populations luxembourgeoises et non-luxembourgeoises, projet prenant en compte la diversité socioculturelle et linguistique, projet interculturel, etc.)</w:t>
      </w:r>
    </w:p>
    <w:p w14:paraId="5C90B1ED" w14:textId="77777777" w:rsidR="0088458D" w:rsidRPr="00262F6C" w:rsidRDefault="0088458D" w:rsidP="00262F6C">
      <w:pPr>
        <w:pStyle w:val="ListParagraph"/>
        <w:spacing w:after="100" w:afterAutospacing="1"/>
        <w:jc w:val="both"/>
      </w:pPr>
    </w:p>
    <w:p w14:paraId="634BD7A4" w14:textId="77777777" w:rsidR="0088458D" w:rsidRPr="00262F6C" w:rsidRDefault="0088458D" w:rsidP="00262F6C">
      <w:pPr>
        <w:pStyle w:val="ListParagraph"/>
        <w:numPr>
          <w:ilvl w:val="0"/>
          <w:numId w:val="13"/>
        </w:numPr>
        <w:spacing w:after="100" w:afterAutospacing="1"/>
        <w:jc w:val="both"/>
      </w:pPr>
      <w:r w:rsidRPr="00262F6C">
        <w:rPr>
          <w:rFonts w:eastAsia="Times New Roman" w:cs="Calibri"/>
          <w:b/>
          <w:lang w:val="fr-LU" w:eastAsia="ar-SA"/>
        </w:rPr>
        <w:t>Rapport coût-efficacité :</w:t>
      </w:r>
      <w:r w:rsidRPr="00262F6C">
        <w:rPr>
          <w:rFonts w:eastAsia="Times New Roman" w:cs="Calibri"/>
          <w:lang w:val="fr-LU" w:eastAsia="ar-SA"/>
        </w:rPr>
        <w:t xml:space="preserve"> Projet répondant aux principes de bonne gestion financière, compte tenu notamment du nombre de personnes concernées par le projet</w:t>
      </w:r>
    </w:p>
    <w:p w14:paraId="051B18BB" w14:textId="77777777" w:rsidR="0088458D" w:rsidRPr="00262F6C" w:rsidRDefault="0088458D" w:rsidP="00262F6C">
      <w:pPr>
        <w:pStyle w:val="ListParagraph"/>
        <w:rPr>
          <w:rFonts w:eastAsia="Times New Roman" w:cs="Calibri"/>
          <w:lang w:val="fr-LU" w:eastAsia="ar-SA"/>
        </w:rPr>
      </w:pPr>
    </w:p>
    <w:p w14:paraId="6D85710E" w14:textId="77777777" w:rsidR="0088458D" w:rsidRPr="00262F6C" w:rsidRDefault="0088458D" w:rsidP="00262F6C">
      <w:pPr>
        <w:pStyle w:val="ListParagraph"/>
        <w:numPr>
          <w:ilvl w:val="0"/>
          <w:numId w:val="13"/>
        </w:numPr>
        <w:spacing w:after="100" w:afterAutospacing="1"/>
        <w:jc w:val="both"/>
      </w:pPr>
      <w:r w:rsidRPr="00262F6C">
        <w:rPr>
          <w:rFonts w:eastAsia="Times New Roman" w:cs="Calibri"/>
          <w:b/>
          <w:lang w:val="fr-LU" w:eastAsia="ar-SA"/>
        </w:rPr>
        <w:t>Faisabilité du projet :</w:t>
      </w:r>
      <w:r w:rsidRPr="00262F6C">
        <w:rPr>
          <w:rFonts w:eastAsia="Times New Roman" w:cs="Calibri"/>
          <w:lang w:val="fr-LU" w:eastAsia="ar-SA"/>
        </w:rPr>
        <w:t xml:space="preserve"> projet réaliste, s’appuyant sur les bases nécessaires pour assurer la faisabilité du projet</w:t>
      </w:r>
    </w:p>
    <w:p w14:paraId="25709B54" w14:textId="77777777" w:rsidR="0088458D" w:rsidRPr="00262F6C" w:rsidRDefault="0088458D" w:rsidP="00262F6C">
      <w:pPr>
        <w:pStyle w:val="ListParagraph"/>
        <w:rPr>
          <w:rFonts w:eastAsia="Times New Roman" w:cs="Calibri"/>
          <w:lang w:val="fr-LU" w:eastAsia="ar-SA"/>
        </w:rPr>
      </w:pPr>
    </w:p>
    <w:p w14:paraId="45332AC2" w14:textId="21BB715B" w:rsidR="0088458D" w:rsidRPr="00262F6C" w:rsidRDefault="0088458D" w:rsidP="00262F6C">
      <w:pPr>
        <w:pStyle w:val="ListParagraph"/>
        <w:numPr>
          <w:ilvl w:val="0"/>
          <w:numId w:val="13"/>
        </w:numPr>
        <w:spacing w:after="100" w:afterAutospacing="1"/>
        <w:jc w:val="both"/>
      </w:pPr>
      <w:r w:rsidRPr="00262F6C">
        <w:rPr>
          <w:rFonts w:eastAsia="Times New Roman" w:cs="Calibri"/>
          <w:b/>
          <w:lang w:val="fr-LU" w:eastAsia="ar-SA"/>
        </w:rPr>
        <w:t>Projet réalisé en partenariat :</w:t>
      </w:r>
      <w:r w:rsidRPr="00262F6C">
        <w:rPr>
          <w:rFonts w:eastAsia="Times New Roman" w:cs="Calibri"/>
          <w:lang w:val="fr-LU" w:eastAsia="ar-SA"/>
        </w:rPr>
        <w:t xml:space="preserve"> projet mené en collaboration avec d’autres partenaires, impliquant d’autres partenaires locaux, nationaux, associatifs (action portée par les autorités communales, coordonnée par un service communal, impliquant un ou plusieurs responsables politiques, réalisée en collaboration avec la commission consultative communale d’intégration ou d’autres commissions consultatives communales, les associations locales, l’école, la maison relais, la maison des jeunes, la maison de retraite, d’autres structures locales, d’autres communes, des associations nationales, des administrations, des ministèr</w:t>
      </w:r>
      <w:r w:rsidR="006F39C7">
        <w:rPr>
          <w:rFonts w:eastAsia="Times New Roman" w:cs="Calibri"/>
          <w:lang w:val="fr-LU" w:eastAsia="ar-SA"/>
        </w:rPr>
        <w:t>es etc.</w:t>
      </w:r>
      <w:r w:rsidRPr="00262F6C">
        <w:rPr>
          <w:rFonts w:eastAsia="Times New Roman" w:cs="Calibri"/>
          <w:lang w:val="fr-LU" w:eastAsia="ar-SA"/>
        </w:rPr>
        <w:t>)</w:t>
      </w:r>
    </w:p>
    <w:p w14:paraId="2471371E" w14:textId="77777777" w:rsidR="0088458D" w:rsidRPr="00262F6C" w:rsidRDefault="0088458D" w:rsidP="00262F6C">
      <w:pPr>
        <w:pStyle w:val="ListParagraph"/>
        <w:rPr>
          <w:rFonts w:eastAsia="Times New Roman" w:cs="Calibri"/>
          <w:b/>
          <w:lang w:val="fr-LU" w:eastAsia="ar-SA"/>
        </w:rPr>
      </w:pPr>
    </w:p>
    <w:p w14:paraId="2A585BD9" w14:textId="3475BF60" w:rsidR="0088458D" w:rsidRPr="00262F6C" w:rsidRDefault="0088458D" w:rsidP="00262F6C">
      <w:pPr>
        <w:pStyle w:val="ListParagraph"/>
        <w:numPr>
          <w:ilvl w:val="0"/>
          <w:numId w:val="13"/>
        </w:numPr>
        <w:spacing w:after="100" w:afterAutospacing="1"/>
        <w:jc w:val="both"/>
      </w:pPr>
      <w:r w:rsidRPr="00262F6C">
        <w:rPr>
          <w:rFonts w:eastAsia="Times New Roman" w:cs="Calibri"/>
          <w:b/>
          <w:lang w:val="fr-LU" w:eastAsia="ar-SA"/>
        </w:rPr>
        <w:t>Complémentarité :</w:t>
      </w:r>
      <w:r w:rsidRPr="00262F6C">
        <w:rPr>
          <w:rFonts w:eastAsia="Times New Roman" w:cs="Calibri"/>
          <w:lang w:val="fr-LU" w:eastAsia="ar-SA"/>
        </w:rPr>
        <w:t xml:space="preserve"> projet complémentaire à d’autres actions financées dans le cadre de programmes nationaux (PAN, conventions, etc</w:t>
      </w:r>
      <w:r w:rsidR="006F39C7">
        <w:rPr>
          <w:rFonts w:eastAsia="Times New Roman" w:cs="Calibri"/>
          <w:lang w:val="fr-LU" w:eastAsia="ar-SA"/>
        </w:rPr>
        <w:t>.</w:t>
      </w:r>
      <w:r w:rsidRPr="00262F6C">
        <w:rPr>
          <w:rFonts w:eastAsia="Times New Roman" w:cs="Calibri"/>
          <w:lang w:val="fr-LU" w:eastAsia="ar-SA"/>
        </w:rPr>
        <w:t>) ou communaux</w:t>
      </w:r>
    </w:p>
    <w:p w14:paraId="041DCB13" w14:textId="77777777" w:rsidR="0088458D" w:rsidRPr="00262F6C" w:rsidRDefault="0088458D" w:rsidP="00262F6C">
      <w:pPr>
        <w:pStyle w:val="ListParagraph"/>
        <w:rPr>
          <w:rFonts w:eastAsia="Times New Roman" w:cs="Calibri"/>
          <w:lang w:val="fr-LU" w:eastAsia="ar-SA"/>
        </w:rPr>
      </w:pPr>
    </w:p>
    <w:p w14:paraId="126B5234" w14:textId="3E299320" w:rsidR="0088458D" w:rsidRPr="00262F6C" w:rsidRDefault="0088458D" w:rsidP="00262F6C">
      <w:pPr>
        <w:pStyle w:val="ListParagraph"/>
        <w:numPr>
          <w:ilvl w:val="0"/>
          <w:numId w:val="13"/>
        </w:numPr>
        <w:spacing w:after="100" w:afterAutospacing="1"/>
        <w:jc w:val="both"/>
      </w:pPr>
      <w:r w:rsidRPr="00262F6C">
        <w:rPr>
          <w:rFonts w:eastAsia="Times New Roman" w:cs="Calibri"/>
          <w:b/>
          <w:lang w:val="fr-LU" w:eastAsia="ar-SA"/>
        </w:rPr>
        <w:t>Public cible :</w:t>
      </w:r>
      <w:r w:rsidRPr="00262F6C">
        <w:rPr>
          <w:rFonts w:eastAsia="Times New Roman" w:cs="Calibri"/>
          <w:lang w:val="fr-LU" w:eastAsia="ar-SA"/>
        </w:rPr>
        <w:t xml:space="preserve"> projet promouvant l’autonomisation, la familiarisation des non-luxembourgeois avec la société d’accueil et la prom</w:t>
      </w:r>
      <w:r w:rsidRPr="001964BA">
        <w:rPr>
          <w:rFonts w:eastAsia="Times New Roman" w:cs="Calibri"/>
          <w:lang w:val="fr-LU" w:eastAsia="ar-SA"/>
        </w:rPr>
        <w:t>otion du dialogue interculturel</w:t>
      </w:r>
      <w:r>
        <w:rPr>
          <w:rFonts w:eastAsia="Times New Roman" w:cs="Calibri"/>
          <w:lang w:val="fr-LU" w:eastAsia="ar-SA"/>
        </w:rPr>
        <w:t> </w:t>
      </w:r>
      <w:r w:rsidRPr="0088458D">
        <w:rPr>
          <w:rFonts w:eastAsia="Times New Roman" w:cs="Calibri"/>
          <w:lang w:val="fr-LU" w:eastAsia="ar-SA"/>
        </w:rPr>
        <w:t>;</w:t>
      </w:r>
      <w:r w:rsidRPr="00262F6C">
        <w:rPr>
          <w:rFonts w:eastAsia="Times New Roman" w:cs="Calibri"/>
          <w:lang w:val="fr-LU" w:eastAsia="ar-SA"/>
        </w:rPr>
        <w:t xml:space="preserve"> projet, prenant en compte les luxembourgeois et les non-luxembourgeois</w:t>
      </w:r>
    </w:p>
    <w:p w14:paraId="0F690F47" w14:textId="77777777" w:rsidR="0088458D" w:rsidRPr="00262F6C" w:rsidRDefault="0088458D" w:rsidP="00262F6C">
      <w:pPr>
        <w:pStyle w:val="ListParagraph"/>
        <w:rPr>
          <w:rFonts w:eastAsia="Times New Roman" w:cs="Calibri"/>
          <w:lang w:val="fr-LU" w:eastAsia="ar-SA"/>
        </w:rPr>
      </w:pPr>
    </w:p>
    <w:p w14:paraId="1EED1420" w14:textId="2016DE72" w:rsidR="0088458D" w:rsidRPr="00262F6C" w:rsidRDefault="0088458D" w:rsidP="00262F6C">
      <w:pPr>
        <w:pStyle w:val="ListParagraph"/>
        <w:numPr>
          <w:ilvl w:val="0"/>
          <w:numId w:val="13"/>
        </w:numPr>
        <w:spacing w:after="100" w:afterAutospacing="1"/>
        <w:jc w:val="both"/>
      </w:pPr>
      <w:r w:rsidRPr="00262F6C">
        <w:rPr>
          <w:rFonts w:eastAsia="Times New Roman" w:cs="Calibri"/>
          <w:b/>
          <w:lang w:val="fr-LU" w:eastAsia="ar-SA"/>
        </w:rPr>
        <w:t>Evaluation :</w:t>
      </w:r>
      <w:r w:rsidRPr="00262F6C">
        <w:rPr>
          <w:rFonts w:eastAsia="Times New Roman" w:cs="Calibri"/>
          <w:lang w:val="fr-LU" w:eastAsia="ar-SA"/>
        </w:rPr>
        <w:t xml:space="preserve"> mise en place d’un système de suivi réaliste, évaluation des aspects positifs et négatifs, de l’adéquation de l’action par rapport aux objectifs visés, de l’impact et de la satisfaction des public cibles</w:t>
      </w:r>
    </w:p>
    <w:p w14:paraId="28607376" w14:textId="2942FA1E" w:rsidR="00E746A9" w:rsidRPr="00262F6C" w:rsidRDefault="00E746A9" w:rsidP="00262F6C">
      <w:pPr>
        <w:spacing w:after="100" w:afterAutospacing="1"/>
        <w:jc w:val="both"/>
      </w:pPr>
    </w:p>
    <w:p w14:paraId="5CE324DC" w14:textId="0D94B326" w:rsidR="0088458D" w:rsidRPr="00262F6C" w:rsidRDefault="00100181" w:rsidP="00927063">
      <w:pPr>
        <w:tabs>
          <w:tab w:val="left" w:pos="1134"/>
          <w:tab w:val="center" w:pos="4536"/>
          <w:tab w:val="right" w:pos="9072"/>
        </w:tabs>
        <w:spacing w:after="0"/>
        <w:jc w:val="both"/>
        <w:rPr>
          <w:rFonts w:eastAsia="Times New Roman" w:cs="Arial"/>
          <w:b/>
          <w:lang w:val="fr-LU" w:eastAsia="fr-FR"/>
        </w:rPr>
      </w:pPr>
      <w:r w:rsidRPr="00262F6C">
        <w:rPr>
          <w:rFonts w:eastAsia="Times New Roman" w:cs="Arial"/>
          <w:b/>
          <w:lang w:val="fr-LU" w:eastAsia="fr-FR"/>
        </w:rPr>
        <w:t>3. Procédure</w:t>
      </w:r>
    </w:p>
    <w:p w14:paraId="2509A728" w14:textId="0175D89B" w:rsidR="0088458D" w:rsidRDefault="0088458D" w:rsidP="00927063">
      <w:pPr>
        <w:tabs>
          <w:tab w:val="left" w:pos="1134"/>
          <w:tab w:val="center" w:pos="4536"/>
          <w:tab w:val="right" w:pos="9072"/>
        </w:tabs>
        <w:spacing w:after="0"/>
        <w:jc w:val="both"/>
        <w:rPr>
          <w:rFonts w:eastAsia="Times New Roman" w:cs="Arial"/>
          <w:lang w:eastAsia="fr-FR"/>
        </w:rPr>
      </w:pPr>
    </w:p>
    <w:p w14:paraId="21036988" w14:textId="2DF4304B" w:rsidR="00100181" w:rsidRPr="00262F6C" w:rsidRDefault="00100181" w:rsidP="00927063">
      <w:pPr>
        <w:tabs>
          <w:tab w:val="left" w:pos="1134"/>
          <w:tab w:val="center" w:pos="4536"/>
          <w:tab w:val="right" w:pos="9072"/>
        </w:tabs>
        <w:spacing w:after="0"/>
        <w:jc w:val="both"/>
        <w:rPr>
          <w:rFonts w:eastAsia="Times New Roman" w:cs="Arial"/>
          <w:b/>
          <w:lang w:eastAsia="fr-FR"/>
        </w:rPr>
      </w:pPr>
      <w:r w:rsidRPr="00262F6C">
        <w:rPr>
          <w:rFonts w:eastAsia="Times New Roman" w:cs="Arial"/>
          <w:b/>
          <w:lang w:eastAsia="fr-FR"/>
        </w:rPr>
        <w:t>a. Présentation des demandes</w:t>
      </w:r>
    </w:p>
    <w:p w14:paraId="260CED1C" w14:textId="266867A9" w:rsidR="00927063" w:rsidRDefault="00927063" w:rsidP="00927063">
      <w:pPr>
        <w:spacing w:after="0" w:line="240" w:lineRule="auto"/>
        <w:jc w:val="both"/>
        <w:rPr>
          <w:rFonts w:eastAsia="Times New Roman" w:cs="Arial"/>
          <w:b/>
          <w:lang w:eastAsia="fr-FR"/>
        </w:rPr>
      </w:pPr>
    </w:p>
    <w:p w14:paraId="66C518BD" w14:textId="4756D067" w:rsidR="00EF731F" w:rsidRPr="00EF731F" w:rsidRDefault="00100181" w:rsidP="00EF731F">
      <w:pPr>
        <w:spacing w:after="0" w:line="240" w:lineRule="auto"/>
        <w:jc w:val="both"/>
        <w:rPr>
          <w:rFonts w:eastAsia="Times New Roman" w:cs="Arial"/>
          <w:lang w:eastAsia="fr-FR"/>
        </w:rPr>
      </w:pPr>
      <w:r w:rsidRPr="00262F6C">
        <w:rPr>
          <w:rFonts w:eastAsia="Times New Roman" w:cs="Arial"/>
          <w:lang w:eastAsia="fr-FR"/>
        </w:rPr>
        <w:t>Pour faire la demande de cofinancement, les administrations communales</w:t>
      </w:r>
      <w:r w:rsidR="00EF731F">
        <w:rPr>
          <w:rFonts w:eastAsia="Times New Roman" w:cs="Arial"/>
          <w:lang w:eastAsia="fr-FR"/>
        </w:rPr>
        <w:t>,</w:t>
      </w:r>
      <w:r w:rsidR="00EF731F" w:rsidRPr="00EF731F">
        <w:rPr>
          <w:rFonts w:eastAsia="Times New Roman" w:cs="Arial"/>
          <w:lang w:eastAsia="fr-FR"/>
        </w:rPr>
        <w:t xml:space="preserve"> syndicats de communes,</w:t>
      </w:r>
    </w:p>
    <w:p w14:paraId="3EE3021B" w14:textId="6885D908" w:rsidR="000F3639" w:rsidRDefault="00EF731F" w:rsidP="00EF731F">
      <w:pPr>
        <w:spacing w:after="0" w:line="240" w:lineRule="auto"/>
        <w:jc w:val="both"/>
        <w:rPr>
          <w:rFonts w:eastAsia="Times New Roman" w:cs="Arial"/>
          <w:lang w:eastAsia="fr-FR"/>
        </w:rPr>
      </w:pPr>
      <w:proofErr w:type="gramStart"/>
      <w:r>
        <w:rPr>
          <w:rFonts w:eastAsia="Times New Roman" w:cs="Arial"/>
          <w:lang w:eastAsia="fr-FR"/>
        </w:rPr>
        <w:t>ou</w:t>
      </w:r>
      <w:proofErr w:type="gramEnd"/>
      <w:r>
        <w:rPr>
          <w:rFonts w:eastAsia="Times New Roman" w:cs="Arial"/>
          <w:lang w:eastAsia="fr-FR"/>
        </w:rPr>
        <w:t xml:space="preserve"> </w:t>
      </w:r>
      <w:r w:rsidRPr="00EF731F">
        <w:rPr>
          <w:rFonts w:eastAsia="Times New Roman" w:cs="Arial"/>
          <w:lang w:eastAsia="fr-FR"/>
        </w:rPr>
        <w:t>établissements publics placés sous la surveillance des communes</w:t>
      </w:r>
      <w:r>
        <w:rPr>
          <w:rFonts w:eastAsia="Times New Roman" w:cs="Arial"/>
          <w:lang w:eastAsia="fr-FR"/>
        </w:rPr>
        <w:t xml:space="preserve"> </w:t>
      </w:r>
      <w:r w:rsidR="00100181" w:rsidRPr="00262F6C">
        <w:rPr>
          <w:rFonts w:eastAsia="Times New Roman" w:cs="Arial"/>
          <w:lang w:eastAsia="fr-FR"/>
        </w:rPr>
        <w:t>sont invités à</w:t>
      </w:r>
      <w:r w:rsidR="000F3639">
        <w:rPr>
          <w:rFonts w:eastAsia="Times New Roman" w:cs="Arial"/>
          <w:lang w:eastAsia="fr-FR"/>
        </w:rPr>
        <w:t> :</w:t>
      </w:r>
    </w:p>
    <w:p w14:paraId="5BD5AB71" w14:textId="77777777" w:rsidR="000F3639" w:rsidRDefault="000F3639" w:rsidP="00100181">
      <w:pPr>
        <w:spacing w:after="0" w:line="240" w:lineRule="auto"/>
        <w:jc w:val="both"/>
        <w:rPr>
          <w:rFonts w:eastAsia="Times New Roman" w:cs="Arial"/>
          <w:lang w:eastAsia="fr-FR"/>
        </w:rPr>
      </w:pPr>
    </w:p>
    <w:p w14:paraId="344B93AB" w14:textId="3331B2BA" w:rsidR="000F3639" w:rsidRDefault="00100181" w:rsidP="00262F6C">
      <w:pPr>
        <w:pStyle w:val="ListParagraph"/>
        <w:numPr>
          <w:ilvl w:val="0"/>
          <w:numId w:val="15"/>
        </w:numPr>
        <w:spacing w:after="0" w:line="240" w:lineRule="auto"/>
        <w:jc w:val="both"/>
        <w:rPr>
          <w:rFonts w:eastAsia="Times New Roman" w:cs="Arial"/>
          <w:lang w:eastAsia="fr-FR"/>
        </w:rPr>
      </w:pPr>
      <w:proofErr w:type="gramStart"/>
      <w:r w:rsidRPr="00262F6C">
        <w:rPr>
          <w:rFonts w:eastAsia="Times New Roman" w:cs="Arial"/>
          <w:lang w:eastAsia="fr-FR"/>
        </w:rPr>
        <w:t>remplir</w:t>
      </w:r>
      <w:proofErr w:type="gramEnd"/>
      <w:r w:rsidRPr="00262F6C">
        <w:rPr>
          <w:rFonts w:eastAsia="Times New Roman" w:cs="Arial"/>
          <w:lang w:eastAsia="fr-FR"/>
        </w:rPr>
        <w:t xml:space="preserve"> la fiche de candidature (annexe 1), </w:t>
      </w:r>
    </w:p>
    <w:p w14:paraId="14A2631D" w14:textId="77777777" w:rsidR="000F3639" w:rsidRDefault="000F3639" w:rsidP="00262F6C">
      <w:pPr>
        <w:pStyle w:val="ListParagraph"/>
        <w:spacing w:after="0" w:line="240" w:lineRule="auto"/>
        <w:ind w:left="765"/>
        <w:jc w:val="both"/>
        <w:rPr>
          <w:rFonts w:eastAsia="Times New Roman" w:cs="Arial"/>
          <w:lang w:eastAsia="fr-FR"/>
        </w:rPr>
      </w:pPr>
    </w:p>
    <w:p w14:paraId="42F543C8" w14:textId="0054B963" w:rsidR="000F3639" w:rsidRDefault="000F3639" w:rsidP="00262F6C">
      <w:pPr>
        <w:pStyle w:val="ListParagraph"/>
        <w:numPr>
          <w:ilvl w:val="0"/>
          <w:numId w:val="15"/>
        </w:numPr>
        <w:spacing w:after="0" w:line="240" w:lineRule="auto"/>
        <w:jc w:val="both"/>
        <w:rPr>
          <w:rFonts w:eastAsia="Times New Roman" w:cs="Arial"/>
          <w:lang w:eastAsia="fr-FR"/>
        </w:rPr>
      </w:pPr>
      <w:proofErr w:type="gramStart"/>
      <w:r>
        <w:rPr>
          <w:rFonts w:eastAsia="Times New Roman" w:cs="Arial"/>
          <w:lang w:eastAsia="fr-FR"/>
        </w:rPr>
        <w:t>établir</w:t>
      </w:r>
      <w:proofErr w:type="gramEnd"/>
      <w:r>
        <w:rPr>
          <w:rFonts w:eastAsia="Times New Roman" w:cs="Arial"/>
          <w:lang w:eastAsia="fr-FR"/>
        </w:rPr>
        <w:t xml:space="preserve"> un </w:t>
      </w:r>
      <w:r w:rsidR="00100181" w:rsidRPr="00262F6C">
        <w:rPr>
          <w:rFonts w:eastAsia="Times New Roman" w:cs="Arial"/>
          <w:lang w:eastAsia="fr-FR"/>
        </w:rPr>
        <w:t xml:space="preserve">budget prévisionnel (annexe 2), </w:t>
      </w:r>
    </w:p>
    <w:p w14:paraId="4D58AAE2" w14:textId="2162D889" w:rsidR="000F3639" w:rsidRPr="00262F6C" w:rsidRDefault="000F3639" w:rsidP="000F3639">
      <w:pPr>
        <w:spacing w:after="0" w:line="240" w:lineRule="auto"/>
        <w:jc w:val="both"/>
        <w:rPr>
          <w:rFonts w:eastAsia="Times New Roman" w:cs="Arial"/>
          <w:lang w:eastAsia="fr-FR"/>
        </w:rPr>
      </w:pPr>
    </w:p>
    <w:p w14:paraId="0EB86859" w14:textId="77777777" w:rsidR="00695442" w:rsidRDefault="00141FA8" w:rsidP="00695442">
      <w:pPr>
        <w:pStyle w:val="ListParagraph"/>
        <w:numPr>
          <w:ilvl w:val="0"/>
          <w:numId w:val="15"/>
        </w:numPr>
        <w:spacing w:after="0" w:line="240" w:lineRule="auto"/>
        <w:jc w:val="both"/>
        <w:rPr>
          <w:rFonts w:eastAsia="Times New Roman" w:cs="Arial"/>
          <w:lang w:eastAsia="fr-FR"/>
        </w:rPr>
      </w:pPr>
      <w:proofErr w:type="gramStart"/>
      <w:r w:rsidRPr="00695442">
        <w:rPr>
          <w:rFonts w:eastAsia="Times New Roman" w:cs="Arial"/>
          <w:lang w:eastAsia="fr-FR"/>
        </w:rPr>
        <w:t>e</w:t>
      </w:r>
      <w:r w:rsidR="00100181" w:rsidRPr="00695442">
        <w:rPr>
          <w:rFonts w:eastAsia="Times New Roman" w:cs="Arial"/>
          <w:lang w:eastAsia="fr-FR"/>
        </w:rPr>
        <w:t>nvoyer</w:t>
      </w:r>
      <w:proofErr w:type="gramEnd"/>
      <w:r w:rsidR="00100181" w:rsidRPr="00695442">
        <w:rPr>
          <w:rFonts w:eastAsia="Times New Roman" w:cs="Arial"/>
          <w:lang w:eastAsia="fr-FR"/>
        </w:rPr>
        <w:t xml:space="preserve"> les deux documents dûment signés par </w:t>
      </w:r>
      <w:r w:rsidR="00695442" w:rsidRPr="00695442">
        <w:rPr>
          <w:rFonts w:eastAsia="Times New Roman" w:cs="Arial"/>
          <w:lang w:eastAsia="fr-FR"/>
        </w:rPr>
        <w:t>l’autorité</w:t>
      </w:r>
      <w:r w:rsidR="00100181" w:rsidRPr="00695442">
        <w:rPr>
          <w:rFonts w:eastAsia="Times New Roman" w:cs="Arial"/>
          <w:lang w:eastAsia="fr-FR"/>
        </w:rPr>
        <w:t xml:space="preserve"> </w:t>
      </w:r>
      <w:r w:rsidR="00EF731F" w:rsidRPr="00695442">
        <w:rPr>
          <w:rFonts w:eastAsia="Times New Roman" w:cs="Arial"/>
          <w:lang w:eastAsia="fr-FR"/>
        </w:rPr>
        <w:t>compétente</w:t>
      </w:r>
      <w:r w:rsidR="00100181" w:rsidRPr="00695442">
        <w:rPr>
          <w:rFonts w:eastAsia="Times New Roman" w:cs="Arial"/>
          <w:lang w:eastAsia="fr-FR"/>
        </w:rPr>
        <w:t xml:space="preserve"> par </w:t>
      </w:r>
      <w:r w:rsidRPr="00695442">
        <w:rPr>
          <w:rFonts w:eastAsia="Times New Roman" w:cs="Arial"/>
          <w:lang w:eastAsia="fr-FR"/>
        </w:rPr>
        <w:t>courriel</w:t>
      </w:r>
      <w:r w:rsidR="00EF731F" w:rsidRPr="00695442">
        <w:rPr>
          <w:rFonts w:eastAsia="Times New Roman" w:cs="Arial"/>
          <w:lang w:eastAsia="fr-FR"/>
        </w:rPr>
        <w:t xml:space="preserve"> </w:t>
      </w:r>
      <w:r w:rsidRPr="00695442">
        <w:rPr>
          <w:rFonts w:eastAsia="Times New Roman" w:cs="Arial"/>
          <w:u w:val="single"/>
          <w:lang w:eastAsia="fr-FR"/>
        </w:rPr>
        <w:t>à l’attention du Ministre de la Famille</w:t>
      </w:r>
      <w:r w:rsidR="00EF731F" w:rsidRPr="00695442">
        <w:rPr>
          <w:rFonts w:eastAsia="Times New Roman" w:cs="Arial"/>
          <w:u w:val="single"/>
          <w:lang w:eastAsia="fr-FR"/>
        </w:rPr>
        <w:t xml:space="preserve"> et</w:t>
      </w:r>
      <w:r w:rsidRPr="00695442">
        <w:rPr>
          <w:rFonts w:eastAsia="Times New Roman" w:cs="Arial"/>
          <w:u w:val="single"/>
          <w:lang w:eastAsia="fr-FR"/>
        </w:rPr>
        <w:t xml:space="preserve"> de l’Intégration</w:t>
      </w:r>
      <w:r w:rsidRPr="00695442">
        <w:rPr>
          <w:rFonts w:eastAsia="Times New Roman" w:cs="Arial"/>
          <w:lang w:eastAsia="fr-FR"/>
        </w:rPr>
        <w:t xml:space="preserve"> à</w:t>
      </w:r>
      <w:r w:rsidR="00100181" w:rsidRPr="00695442">
        <w:rPr>
          <w:rFonts w:eastAsia="Times New Roman" w:cs="Arial"/>
          <w:lang w:eastAsia="fr-FR"/>
        </w:rPr>
        <w:t xml:space="preserve"> </w:t>
      </w:r>
    </w:p>
    <w:p w14:paraId="2827322F" w14:textId="77777777" w:rsidR="00695442" w:rsidRDefault="00695442" w:rsidP="00D54BCD">
      <w:pPr>
        <w:pStyle w:val="ListParagraph"/>
      </w:pPr>
      <w:bookmarkStart w:id="0" w:name="_GoBack"/>
      <w:bookmarkEnd w:id="0"/>
    </w:p>
    <w:p w14:paraId="12F4BAEE" w14:textId="77777777" w:rsidR="00695442" w:rsidRDefault="00695442" w:rsidP="00D54BCD">
      <w:pPr>
        <w:pStyle w:val="ListParagraph"/>
        <w:spacing w:after="0" w:line="240" w:lineRule="auto"/>
        <w:ind w:left="765"/>
        <w:jc w:val="both"/>
      </w:pPr>
    </w:p>
    <w:p w14:paraId="2F09D59D" w14:textId="77777777" w:rsidR="00695442" w:rsidRDefault="00695442" w:rsidP="00D54BCD">
      <w:pPr>
        <w:pStyle w:val="ListParagraph"/>
        <w:pBdr>
          <w:top w:val="single" w:sz="4" w:space="1" w:color="auto"/>
          <w:left w:val="single" w:sz="4" w:space="4" w:color="auto"/>
          <w:bottom w:val="single" w:sz="4" w:space="1" w:color="auto"/>
          <w:right w:val="single" w:sz="4" w:space="4" w:color="auto"/>
        </w:pBdr>
        <w:spacing w:after="0" w:line="240" w:lineRule="auto"/>
        <w:ind w:left="765"/>
        <w:jc w:val="center"/>
      </w:pPr>
    </w:p>
    <w:p w14:paraId="4C19934C" w14:textId="49431F05" w:rsidR="00695442" w:rsidRDefault="00695442" w:rsidP="00D54BCD">
      <w:pPr>
        <w:pStyle w:val="ListParagraph"/>
        <w:pBdr>
          <w:top w:val="single" w:sz="4" w:space="1" w:color="auto"/>
          <w:left w:val="single" w:sz="4" w:space="4" w:color="auto"/>
          <w:bottom w:val="single" w:sz="4" w:space="1" w:color="auto"/>
          <w:right w:val="single" w:sz="4" w:space="4" w:color="auto"/>
        </w:pBdr>
        <w:spacing w:after="0" w:line="240" w:lineRule="auto"/>
        <w:ind w:left="765"/>
        <w:jc w:val="center"/>
        <w:rPr>
          <w:rStyle w:val="Hyperlink"/>
          <w:rFonts w:eastAsia="Times New Roman" w:cs="Arial"/>
          <w:b/>
          <w:lang w:eastAsia="fr-FR"/>
        </w:rPr>
      </w:pPr>
      <w:hyperlink r:id="rId8" w:history="1">
        <w:r w:rsidR="00EF731F" w:rsidRPr="00695442">
          <w:rPr>
            <w:rStyle w:val="Hyperlink"/>
            <w:rFonts w:eastAsia="Times New Roman" w:cs="Arial"/>
            <w:b/>
            <w:lang w:eastAsia="fr-FR"/>
          </w:rPr>
          <w:t>communes@integration.etat.lu</w:t>
        </w:r>
      </w:hyperlink>
    </w:p>
    <w:p w14:paraId="66191F9F" w14:textId="77777777" w:rsidR="00695442" w:rsidRPr="00695442" w:rsidRDefault="00695442" w:rsidP="00D54BCD">
      <w:pPr>
        <w:pStyle w:val="ListParagraph"/>
        <w:pBdr>
          <w:top w:val="single" w:sz="4" w:space="1" w:color="auto"/>
          <w:left w:val="single" w:sz="4" w:space="4" w:color="auto"/>
          <w:bottom w:val="single" w:sz="4" w:space="1" w:color="auto"/>
          <w:right w:val="single" w:sz="4" w:space="4" w:color="auto"/>
        </w:pBdr>
        <w:spacing w:after="0" w:line="240" w:lineRule="auto"/>
        <w:ind w:left="765"/>
        <w:jc w:val="center"/>
        <w:rPr>
          <w:rFonts w:eastAsia="Times New Roman" w:cs="Arial"/>
          <w:lang w:eastAsia="fr-FR"/>
        </w:rPr>
      </w:pPr>
    </w:p>
    <w:p w14:paraId="27C8CFF9" w14:textId="77777777" w:rsidR="00695442" w:rsidRPr="00695442" w:rsidRDefault="00695442" w:rsidP="00695442">
      <w:pPr>
        <w:pStyle w:val="ListParagraph"/>
        <w:rPr>
          <w:rFonts w:eastAsia="Times New Roman" w:cs="Arial"/>
          <w:lang w:eastAsia="fr-FR"/>
        </w:rPr>
      </w:pPr>
    </w:p>
    <w:p w14:paraId="1C710174" w14:textId="77777777" w:rsidR="00100181" w:rsidRPr="00695442" w:rsidRDefault="00100181" w:rsidP="00695442">
      <w:pPr>
        <w:pStyle w:val="ListParagraph"/>
        <w:spacing w:after="0" w:line="240" w:lineRule="auto"/>
        <w:ind w:left="765"/>
        <w:jc w:val="both"/>
        <w:rPr>
          <w:rFonts w:eastAsia="Times New Roman" w:cs="Arial"/>
          <w:lang w:eastAsia="fr-FR"/>
        </w:rPr>
      </w:pPr>
    </w:p>
    <w:p w14:paraId="27E0A2CF" w14:textId="16F9418D" w:rsidR="00EF731F" w:rsidRPr="00EF731F" w:rsidRDefault="00EF731F" w:rsidP="00EF731F">
      <w:pPr>
        <w:spacing w:after="0" w:line="240" w:lineRule="auto"/>
        <w:jc w:val="both"/>
        <w:rPr>
          <w:rFonts w:eastAsia="Times New Roman" w:cs="Arial"/>
          <w:lang w:eastAsia="fr-FR"/>
        </w:rPr>
      </w:pPr>
      <w:r>
        <w:rPr>
          <w:rFonts w:eastAsia="Times New Roman" w:cs="Arial"/>
          <w:lang w:eastAsia="fr-FR"/>
        </w:rPr>
        <w:lastRenderedPageBreak/>
        <w:t>L</w:t>
      </w:r>
      <w:r w:rsidRPr="00EF731F">
        <w:rPr>
          <w:rFonts w:eastAsia="Times New Roman" w:cs="Arial"/>
          <w:lang w:eastAsia="fr-FR"/>
        </w:rPr>
        <w:t xml:space="preserve">es communes, syndicats de communes et établissements publics placés sous la surveillance des communes peuvent introduire leurs projets tout au long de l’exercice 2020. </w:t>
      </w:r>
    </w:p>
    <w:p w14:paraId="0B381B71" w14:textId="2E0F3FA2" w:rsidR="00F44BD9" w:rsidRDefault="00EF731F" w:rsidP="00EF731F">
      <w:pPr>
        <w:spacing w:after="0" w:line="240" w:lineRule="auto"/>
        <w:jc w:val="both"/>
        <w:rPr>
          <w:rFonts w:eastAsia="Times New Roman" w:cs="Arial"/>
          <w:lang w:eastAsia="fr-FR"/>
        </w:rPr>
      </w:pPr>
      <w:r w:rsidRPr="00EF731F">
        <w:rPr>
          <w:rFonts w:eastAsia="Times New Roman" w:cs="Arial"/>
          <w:lang w:eastAsia="fr-FR"/>
        </w:rPr>
        <w:t>Les projets peuvent être réalisés entre le 1er janvier et le 31 décembre 2020. Seules les dépenses réalisées au cours de l’exercice 2020 sont éligibles.</w:t>
      </w:r>
      <w:r>
        <w:rPr>
          <w:rFonts w:eastAsia="Times New Roman" w:cs="Arial"/>
          <w:lang w:eastAsia="fr-FR"/>
        </w:rPr>
        <w:t xml:space="preserve"> </w:t>
      </w:r>
    </w:p>
    <w:p w14:paraId="65C6E488" w14:textId="77777777" w:rsidR="00EF731F" w:rsidRDefault="00EF731F" w:rsidP="00100181">
      <w:pPr>
        <w:spacing w:after="0" w:line="240" w:lineRule="auto"/>
        <w:jc w:val="both"/>
        <w:rPr>
          <w:rFonts w:eastAsia="Times New Roman" w:cs="Arial"/>
          <w:lang w:eastAsia="fr-FR"/>
        </w:rPr>
      </w:pPr>
    </w:p>
    <w:p w14:paraId="0E5D8C9F" w14:textId="1BBABBE4" w:rsidR="00100181" w:rsidRDefault="00F44BD9" w:rsidP="00100181">
      <w:pPr>
        <w:spacing w:after="0" w:line="240" w:lineRule="auto"/>
        <w:jc w:val="both"/>
        <w:rPr>
          <w:rFonts w:eastAsia="Times New Roman" w:cs="Arial"/>
          <w:lang w:eastAsia="fr-FR"/>
        </w:rPr>
      </w:pPr>
      <w:r w:rsidRPr="00F44BD9">
        <w:rPr>
          <w:rFonts w:eastAsia="Times New Roman" w:cs="Arial"/>
          <w:lang w:eastAsia="fr-FR"/>
        </w:rPr>
        <w:t xml:space="preserve">Il convient de souligner que selon la législation en vigueur, les demandes doivent impérativement parvenir au ministère </w:t>
      </w:r>
      <w:r w:rsidRPr="00F44BD9">
        <w:rPr>
          <w:rFonts w:eastAsia="Times New Roman" w:cs="Arial"/>
          <w:u w:val="single"/>
          <w:lang w:eastAsia="fr-FR"/>
        </w:rPr>
        <w:t>avant</w:t>
      </w:r>
      <w:r w:rsidRPr="00F44BD9">
        <w:rPr>
          <w:rFonts w:eastAsia="Times New Roman" w:cs="Arial"/>
          <w:lang w:eastAsia="fr-FR"/>
        </w:rPr>
        <w:t xml:space="preserve"> la réalisation du projet et que les demandes avec effet rétroactif ne seront pas prises en compte.</w:t>
      </w:r>
    </w:p>
    <w:p w14:paraId="6C074C87" w14:textId="77777777" w:rsidR="00F44BD9" w:rsidRDefault="00F44BD9" w:rsidP="006F39C7">
      <w:pPr>
        <w:spacing w:after="0" w:line="240" w:lineRule="auto"/>
        <w:jc w:val="both"/>
        <w:rPr>
          <w:rFonts w:eastAsia="Times New Roman" w:cs="Arial"/>
          <w:b/>
          <w:lang w:eastAsia="fr-FR"/>
        </w:rPr>
      </w:pPr>
    </w:p>
    <w:p w14:paraId="23CE6B49" w14:textId="77777777" w:rsidR="00F44BD9" w:rsidRDefault="00F44BD9" w:rsidP="006F39C7">
      <w:pPr>
        <w:spacing w:after="0" w:line="240" w:lineRule="auto"/>
        <w:jc w:val="both"/>
        <w:rPr>
          <w:rFonts w:eastAsia="Times New Roman" w:cs="Arial"/>
          <w:b/>
          <w:lang w:eastAsia="fr-FR"/>
        </w:rPr>
      </w:pPr>
    </w:p>
    <w:p w14:paraId="6AF6AC96" w14:textId="69243E6A" w:rsidR="00100181" w:rsidRPr="00100181" w:rsidRDefault="00100181" w:rsidP="006F39C7">
      <w:pPr>
        <w:spacing w:after="0" w:line="240" w:lineRule="auto"/>
        <w:jc w:val="both"/>
        <w:rPr>
          <w:rFonts w:eastAsia="Times New Roman" w:cs="Arial"/>
          <w:b/>
          <w:lang w:eastAsia="fr-FR"/>
        </w:rPr>
      </w:pPr>
      <w:r w:rsidRPr="00262F6C">
        <w:rPr>
          <w:rFonts w:eastAsia="Times New Roman" w:cs="Arial"/>
          <w:b/>
          <w:lang w:eastAsia="fr-FR"/>
        </w:rPr>
        <w:t>b. Procédure de sélectio</w:t>
      </w:r>
      <w:r w:rsidRPr="00100181">
        <w:rPr>
          <w:rFonts w:eastAsia="Times New Roman" w:cs="Arial"/>
          <w:b/>
          <w:lang w:eastAsia="fr-FR"/>
        </w:rPr>
        <w:t>n</w:t>
      </w:r>
    </w:p>
    <w:p w14:paraId="1575CC0B" w14:textId="49EE3DA0" w:rsidR="00100181" w:rsidRDefault="00100181" w:rsidP="00927063">
      <w:pPr>
        <w:spacing w:after="0" w:line="240" w:lineRule="auto"/>
        <w:jc w:val="both"/>
        <w:rPr>
          <w:rFonts w:eastAsia="Times New Roman" w:cs="Arial"/>
          <w:b/>
          <w:lang w:eastAsia="fr-FR"/>
        </w:rPr>
      </w:pPr>
    </w:p>
    <w:p w14:paraId="62427395" w14:textId="3116C28A" w:rsidR="00100181" w:rsidRDefault="00100181" w:rsidP="00100181">
      <w:pPr>
        <w:tabs>
          <w:tab w:val="left" w:pos="1134"/>
          <w:tab w:val="center" w:pos="4536"/>
          <w:tab w:val="right" w:pos="9072"/>
        </w:tabs>
        <w:spacing w:after="0" w:line="240" w:lineRule="auto"/>
        <w:jc w:val="both"/>
        <w:rPr>
          <w:rFonts w:eastAsia="Times New Roman" w:cs="Arial"/>
          <w:lang w:eastAsia="fr-FR"/>
        </w:rPr>
      </w:pPr>
      <w:r>
        <w:rPr>
          <w:rFonts w:eastAsia="Times New Roman" w:cs="Arial"/>
          <w:lang w:eastAsia="fr-FR"/>
        </w:rPr>
        <w:t>Le Département de l’Intégration</w:t>
      </w:r>
      <w:r w:rsidRPr="00FE5BE8">
        <w:rPr>
          <w:rFonts w:eastAsia="Times New Roman" w:cs="Arial"/>
          <w:lang w:eastAsia="fr-FR"/>
        </w:rPr>
        <w:t xml:space="preserve"> procèdera à l’évaluation des demandes en fonction des critères prédéfinis </w:t>
      </w:r>
      <w:r>
        <w:rPr>
          <w:rFonts w:eastAsia="Times New Roman" w:cs="Arial"/>
          <w:lang w:eastAsia="fr-FR"/>
        </w:rPr>
        <w:t>dans les présentes modalités d’octroi</w:t>
      </w:r>
      <w:r w:rsidRPr="00FE5BE8">
        <w:rPr>
          <w:rFonts w:eastAsia="Times New Roman" w:cs="Arial"/>
          <w:lang w:eastAsia="fr-FR"/>
        </w:rPr>
        <w:t>.</w:t>
      </w:r>
    </w:p>
    <w:p w14:paraId="2A58F45F" w14:textId="469C5CEC" w:rsidR="00100181" w:rsidRDefault="00100181" w:rsidP="00100181">
      <w:pPr>
        <w:rPr>
          <w:b/>
          <w:u w:val="single"/>
        </w:rPr>
      </w:pPr>
      <w:r>
        <w:rPr>
          <w:rFonts w:eastAsia="Times New Roman" w:cs="Arial"/>
          <w:lang w:eastAsia="fr-FR"/>
        </w:rPr>
        <w:t>Il</w:t>
      </w:r>
      <w:r w:rsidRPr="00927063">
        <w:rPr>
          <w:rFonts w:eastAsia="Times New Roman" w:cs="Arial"/>
          <w:lang w:eastAsia="fr-FR"/>
        </w:rPr>
        <w:t xml:space="preserve"> se réunit </w:t>
      </w:r>
      <w:r>
        <w:rPr>
          <w:rFonts w:eastAsia="Times New Roman" w:cs="Arial"/>
          <w:lang w:eastAsia="fr-FR"/>
        </w:rPr>
        <w:t>selon les besoins. L</w:t>
      </w:r>
      <w:r w:rsidRPr="00927063">
        <w:rPr>
          <w:rFonts w:eastAsia="Times New Roman" w:cs="Arial"/>
          <w:lang w:eastAsia="fr-FR"/>
        </w:rPr>
        <w:t>es communes</w:t>
      </w:r>
      <w:r w:rsidR="00EF731F">
        <w:rPr>
          <w:rFonts w:eastAsia="Times New Roman" w:cs="Arial"/>
          <w:lang w:eastAsia="fr-FR"/>
        </w:rPr>
        <w:t>,</w:t>
      </w:r>
      <w:r w:rsidRPr="00927063">
        <w:rPr>
          <w:rFonts w:eastAsia="Times New Roman" w:cs="Arial"/>
          <w:lang w:eastAsia="fr-FR"/>
        </w:rPr>
        <w:t xml:space="preserve"> </w:t>
      </w:r>
      <w:r w:rsidR="00EF731F">
        <w:rPr>
          <w:rFonts w:eastAsia="Times New Roman" w:cs="Arial"/>
          <w:lang w:eastAsia="fr-FR"/>
        </w:rPr>
        <w:t>syndicats de communes, ou</w:t>
      </w:r>
      <w:r w:rsidR="00EF731F" w:rsidRPr="00EF731F">
        <w:rPr>
          <w:rFonts w:eastAsia="Times New Roman" w:cs="Arial"/>
          <w:lang w:eastAsia="fr-FR"/>
        </w:rPr>
        <w:t xml:space="preserve"> établissements publics placés sous la surveillance des communes </w:t>
      </w:r>
      <w:r w:rsidRPr="00927063">
        <w:rPr>
          <w:rFonts w:eastAsia="Times New Roman" w:cs="Arial"/>
          <w:lang w:eastAsia="fr-FR"/>
        </w:rPr>
        <w:t xml:space="preserve">seront informées </w:t>
      </w:r>
      <w:r w:rsidR="003932C3">
        <w:rPr>
          <w:rFonts w:eastAsia="Times New Roman" w:cs="Arial"/>
          <w:lang w:eastAsia="fr-FR"/>
        </w:rPr>
        <w:t>de la décision</w:t>
      </w:r>
      <w:r w:rsidRPr="00927063">
        <w:rPr>
          <w:rFonts w:eastAsia="Times New Roman" w:cs="Arial"/>
          <w:lang w:eastAsia="fr-FR"/>
        </w:rPr>
        <w:t xml:space="preserve"> </w:t>
      </w:r>
      <w:r w:rsidR="003932C3">
        <w:rPr>
          <w:rFonts w:eastAsia="Times New Roman" w:cs="Arial"/>
          <w:lang w:eastAsia="fr-FR"/>
        </w:rPr>
        <w:t xml:space="preserve">par </w:t>
      </w:r>
      <w:r>
        <w:rPr>
          <w:rFonts w:eastAsia="Times New Roman" w:cs="Arial"/>
          <w:lang w:eastAsia="fr-FR"/>
        </w:rPr>
        <w:t>courriel</w:t>
      </w:r>
      <w:r w:rsidR="003932C3">
        <w:rPr>
          <w:rFonts w:eastAsia="Times New Roman" w:cs="Arial"/>
          <w:lang w:eastAsia="fr-FR"/>
        </w:rPr>
        <w:t>.</w:t>
      </w:r>
    </w:p>
    <w:p w14:paraId="19588397" w14:textId="77777777" w:rsidR="004463A6" w:rsidRDefault="004463A6" w:rsidP="006F39C7">
      <w:pPr>
        <w:spacing w:after="0" w:line="240" w:lineRule="auto"/>
        <w:jc w:val="both"/>
        <w:rPr>
          <w:rFonts w:eastAsia="Times New Roman" w:cs="Arial"/>
          <w:b/>
          <w:lang w:eastAsia="fr-FR"/>
        </w:rPr>
      </w:pPr>
    </w:p>
    <w:p w14:paraId="53BF008F" w14:textId="4DA3A0B1" w:rsidR="00100181" w:rsidRDefault="003932C3" w:rsidP="006F39C7">
      <w:pPr>
        <w:spacing w:after="0" w:line="240" w:lineRule="auto"/>
        <w:jc w:val="both"/>
        <w:rPr>
          <w:rFonts w:eastAsia="Times New Roman" w:cs="Arial"/>
          <w:b/>
          <w:lang w:eastAsia="fr-FR"/>
        </w:rPr>
      </w:pPr>
      <w:r>
        <w:rPr>
          <w:rFonts w:eastAsia="Times New Roman" w:cs="Arial"/>
          <w:b/>
          <w:lang w:eastAsia="fr-FR"/>
        </w:rPr>
        <w:t>c. Obligations</w:t>
      </w:r>
    </w:p>
    <w:p w14:paraId="588F4A3B" w14:textId="341EDA2C" w:rsidR="003932C3" w:rsidRDefault="003932C3" w:rsidP="00927063">
      <w:pPr>
        <w:spacing w:after="0" w:line="240" w:lineRule="auto"/>
        <w:jc w:val="both"/>
        <w:rPr>
          <w:rFonts w:eastAsia="Times New Roman" w:cs="Arial"/>
          <w:b/>
          <w:lang w:eastAsia="fr-FR"/>
        </w:rPr>
      </w:pPr>
    </w:p>
    <w:p w14:paraId="1EA493DE" w14:textId="5FAD366D" w:rsidR="003932C3" w:rsidRDefault="003932C3" w:rsidP="00927063">
      <w:pPr>
        <w:spacing w:after="0" w:line="240" w:lineRule="auto"/>
        <w:jc w:val="both"/>
        <w:rPr>
          <w:rFonts w:eastAsia="Times New Roman" w:cs="Arial"/>
          <w:lang w:eastAsia="fr-FR"/>
        </w:rPr>
      </w:pPr>
      <w:r>
        <w:rPr>
          <w:rFonts w:eastAsia="Times New Roman" w:cs="Arial"/>
          <w:lang w:eastAsia="fr-FR"/>
        </w:rPr>
        <w:t>Si la demande est approuvée, le demandeur s’engage à :</w:t>
      </w:r>
    </w:p>
    <w:p w14:paraId="05DF1F87" w14:textId="71931DE9" w:rsidR="003932C3" w:rsidRDefault="003932C3" w:rsidP="00927063">
      <w:pPr>
        <w:spacing w:after="0" w:line="240" w:lineRule="auto"/>
        <w:jc w:val="both"/>
        <w:rPr>
          <w:rFonts w:eastAsia="Times New Roman" w:cs="Arial"/>
          <w:lang w:eastAsia="fr-FR"/>
        </w:rPr>
      </w:pPr>
    </w:p>
    <w:p w14:paraId="2E28AA79" w14:textId="21B90774" w:rsidR="00C847A1" w:rsidRDefault="003932C3" w:rsidP="00262F6C">
      <w:pPr>
        <w:pStyle w:val="ListParagraph"/>
        <w:numPr>
          <w:ilvl w:val="0"/>
          <w:numId w:val="14"/>
        </w:numPr>
        <w:spacing w:after="0" w:line="240" w:lineRule="auto"/>
        <w:jc w:val="both"/>
        <w:rPr>
          <w:rFonts w:eastAsia="Times New Roman" w:cs="Arial"/>
          <w:lang w:eastAsia="fr-FR"/>
        </w:rPr>
      </w:pPr>
      <w:proofErr w:type="gramStart"/>
      <w:r w:rsidRPr="003932C3">
        <w:rPr>
          <w:rFonts w:eastAsia="Times New Roman" w:cs="Arial"/>
          <w:lang w:eastAsia="fr-FR"/>
        </w:rPr>
        <w:t>faire</w:t>
      </w:r>
      <w:proofErr w:type="gramEnd"/>
      <w:r w:rsidRPr="003932C3">
        <w:rPr>
          <w:rFonts w:eastAsia="Times New Roman" w:cs="Arial"/>
          <w:lang w:eastAsia="fr-FR"/>
        </w:rPr>
        <w:t xml:space="preserve"> figurer le logo du ministère</w:t>
      </w:r>
      <w:r w:rsidR="00EF731F">
        <w:rPr>
          <w:rFonts w:eastAsia="Times New Roman" w:cs="Arial"/>
          <w:lang w:eastAsia="fr-FR"/>
        </w:rPr>
        <w:t xml:space="preserve"> de la Famille, de l’Intégration et à la Grande Région</w:t>
      </w:r>
      <w:r w:rsidRPr="003932C3">
        <w:rPr>
          <w:rFonts w:eastAsia="Times New Roman" w:cs="Arial"/>
          <w:lang w:eastAsia="fr-FR"/>
        </w:rPr>
        <w:t>, disponible sur demande, sur l’ensemble des outils de communication en rapport avec l’action. Un « bon à tirer » est à soumettre pour accord au ministère avant impression et diffusion de supports avec le logo.</w:t>
      </w:r>
    </w:p>
    <w:p w14:paraId="160BC87A" w14:textId="77777777" w:rsidR="003932C3" w:rsidRPr="00262F6C" w:rsidRDefault="003932C3" w:rsidP="00C847A1">
      <w:pPr>
        <w:spacing w:after="0" w:line="240" w:lineRule="auto"/>
        <w:jc w:val="both"/>
        <w:rPr>
          <w:lang w:eastAsia="fr-FR"/>
        </w:rPr>
      </w:pPr>
    </w:p>
    <w:p w14:paraId="47E38A69" w14:textId="29903851" w:rsidR="003932C3" w:rsidRDefault="003932C3" w:rsidP="00141FA8">
      <w:pPr>
        <w:pStyle w:val="ListParagraph"/>
        <w:numPr>
          <w:ilvl w:val="0"/>
          <w:numId w:val="14"/>
        </w:numPr>
        <w:spacing w:after="0" w:line="240" w:lineRule="auto"/>
        <w:jc w:val="both"/>
        <w:rPr>
          <w:rFonts w:eastAsia="Times New Roman" w:cs="Arial"/>
          <w:lang w:eastAsia="fr-FR"/>
        </w:rPr>
      </w:pPr>
      <w:proofErr w:type="gramStart"/>
      <w:r w:rsidRPr="003932C3">
        <w:rPr>
          <w:rFonts w:eastAsia="Times New Roman" w:cs="Arial"/>
          <w:lang w:eastAsia="fr-FR"/>
        </w:rPr>
        <w:t>remettre</w:t>
      </w:r>
      <w:proofErr w:type="gramEnd"/>
      <w:r w:rsidRPr="003932C3">
        <w:rPr>
          <w:rFonts w:eastAsia="Times New Roman" w:cs="Arial"/>
          <w:lang w:eastAsia="fr-FR"/>
        </w:rPr>
        <w:t xml:space="preserve"> un rapport de mise en œuvre et un décompte financier (annexe 3, avec copies des factures et preuves de paiement) à la fin du projet et ce pour le 31 janvier 2021 au plus tard</w:t>
      </w:r>
      <w:r>
        <w:rPr>
          <w:rFonts w:eastAsia="Times New Roman" w:cs="Arial"/>
          <w:lang w:eastAsia="fr-FR"/>
        </w:rPr>
        <w:t>.</w:t>
      </w:r>
      <w:r w:rsidRPr="003932C3">
        <w:rPr>
          <w:rFonts w:eastAsia="Times New Roman" w:cs="Arial"/>
          <w:lang w:eastAsia="fr-FR"/>
        </w:rPr>
        <w:t xml:space="preserve"> </w:t>
      </w:r>
    </w:p>
    <w:p w14:paraId="435F5A46" w14:textId="77777777" w:rsidR="00141FA8" w:rsidRPr="00141FA8" w:rsidRDefault="00141FA8" w:rsidP="00141FA8">
      <w:pPr>
        <w:spacing w:after="0" w:line="240" w:lineRule="auto"/>
        <w:jc w:val="both"/>
        <w:rPr>
          <w:rFonts w:eastAsia="Times New Roman" w:cs="Arial"/>
          <w:lang w:eastAsia="fr-FR"/>
        </w:rPr>
      </w:pPr>
    </w:p>
    <w:p w14:paraId="384949F6" w14:textId="0D5EFB65" w:rsidR="003932C3" w:rsidRDefault="003932C3" w:rsidP="00262F6C">
      <w:pPr>
        <w:pStyle w:val="ListParagraph"/>
        <w:numPr>
          <w:ilvl w:val="0"/>
          <w:numId w:val="14"/>
        </w:numPr>
        <w:spacing w:after="0" w:line="240" w:lineRule="auto"/>
        <w:jc w:val="both"/>
        <w:rPr>
          <w:rFonts w:eastAsia="Times New Roman" w:cs="Arial"/>
          <w:lang w:eastAsia="fr-FR"/>
        </w:rPr>
      </w:pPr>
      <w:r w:rsidRPr="003932C3">
        <w:rPr>
          <w:rFonts w:eastAsia="Times New Roman" w:cs="Arial"/>
          <w:lang w:eastAsia="fr-FR"/>
        </w:rPr>
        <w:t>Le rapport de mise en œuvre rend compte des activités réalisées et des résultats obtenus en matière d’intégration (annexe 4).</w:t>
      </w:r>
    </w:p>
    <w:p w14:paraId="0FDF1B0D" w14:textId="3E0436B8" w:rsidR="003932C3" w:rsidRDefault="003932C3" w:rsidP="003932C3">
      <w:pPr>
        <w:spacing w:after="0" w:line="240" w:lineRule="auto"/>
        <w:jc w:val="both"/>
        <w:rPr>
          <w:rFonts w:eastAsia="Times New Roman" w:cs="Arial"/>
          <w:lang w:eastAsia="fr-FR"/>
        </w:rPr>
      </w:pPr>
    </w:p>
    <w:p w14:paraId="42B413C0" w14:textId="11C98C14" w:rsidR="003932C3" w:rsidRPr="00262F6C" w:rsidRDefault="0084710F" w:rsidP="00262F6C">
      <w:pPr>
        <w:pStyle w:val="ListParagraph"/>
        <w:numPr>
          <w:ilvl w:val="0"/>
          <w:numId w:val="14"/>
        </w:numPr>
        <w:spacing w:after="0" w:line="240" w:lineRule="auto"/>
        <w:jc w:val="both"/>
        <w:rPr>
          <w:rFonts w:eastAsia="Times New Roman" w:cs="Arial"/>
          <w:lang w:eastAsia="fr-FR"/>
        </w:rPr>
      </w:pPr>
      <w:r>
        <w:rPr>
          <w:rFonts w:eastAsia="Times New Roman" w:cs="Arial"/>
          <w:lang w:eastAsia="fr-FR"/>
        </w:rPr>
        <w:t>Informer le ministère immédiatement de tout changement de programme ou de déroulement de l’action ou du projet, dans les cas où la mise en œuvre d’un projet s’avérait impossible ou si le projet était annulé. Il procèdera</w:t>
      </w:r>
      <w:r w:rsidR="00035884">
        <w:rPr>
          <w:rFonts w:eastAsia="Times New Roman" w:cs="Arial"/>
          <w:lang w:eastAsia="fr-FR"/>
        </w:rPr>
        <w:t>,</w:t>
      </w:r>
      <w:r>
        <w:rPr>
          <w:rFonts w:eastAsia="Times New Roman" w:cs="Arial"/>
          <w:lang w:eastAsia="fr-FR"/>
        </w:rPr>
        <w:t xml:space="preserve"> dans ces cas</w:t>
      </w:r>
      <w:r w:rsidR="00035884">
        <w:rPr>
          <w:rFonts w:eastAsia="Times New Roman" w:cs="Arial"/>
          <w:lang w:eastAsia="fr-FR"/>
        </w:rPr>
        <w:t>,</w:t>
      </w:r>
      <w:r>
        <w:rPr>
          <w:rFonts w:eastAsia="Times New Roman" w:cs="Arial"/>
          <w:lang w:eastAsia="fr-FR"/>
        </w:rPr>
        <w:t xml:space="preserve"> au remboursement des avances versées.</w:t>
      </w:r>
    </w:p>
    <w:p w14:paraId="6A29D7D4" w14:textId="4653E4A5" w:rsidR="00100181" w:rsidRDefault="00100181" w:rsidP="00927063">
      <w:pPr>
        <w:spacing w:after="0" w:line="240" w:lineRule="auto"/>
        <w:jc w:val="both"/>
        <w:rPr>
          <w:rFonts w:eastAsia="Times New Roman" w:cs="Arial"/>
          <w:b/>
          <w:lang w:eastAsia="fr-FR"/>
        </w:rPr>
      </w:pPr>
    </w:p>
    <w:p w14:paraId="1B776948" w14:textId="77777777" w:rsidR="004463A6" w:rsidRDefault="004463A6" w:rsidP="00927063">
      <w:pPr>
        <w:spacing w:after="0" w:line="240" w:lineRule="auto"/>
        <w:jc w:val="both"/>
        <w:rPr>
          <w:rFonts w:eastAsia="Times New Roman" w:cs="Arial"/>
          <w:b/>
          <w:lang w:eastAsia="fr-FR"/>
        </w:rPr>
      </w:pPr>
    </w:p>
    <w:p w14:paraId="02F00C2C" w14:textId="69C7DBA1" w:rsidR="005A1E87" w:rsidRDefault="00035884" w:rsidP="006F39C7">
      <w:pPr>
        <w:shd w:val="clear" w:color="auto" w:fill="FFFFFF" w:themeFill="background1"/>
        <w:spacing w:before="120" w:after="0"/>
        <w:jc w:val="both"/>
        <w:rPr>
          <w:rFonts w:eastAsia="Times New Roman" w:cs="Times New Roman"/>
          <w:lang w:eastAsia="fr-FR"/>
        </w:rPr>
      </w:pPr>
      <w:r>
        <w:rPr>
          <w:rFonts w:eastAsia="Times New Roman" w:cs="Arial"/>
          <w:b/>
          <w:lang w:eastAsia="fr-FR"/>
        </w:rPr>
        <w:t>d. Suivi</w:t>
      </w:r>
    </w:p>
    <w:p w14:paraId="5AB07948" w14:textId="16F09CE3" w:rsidR="00FF4E16" w:rsidRPr="00FF4E16" w:rsidRDefault="00FF4E16" w:rsidP="00A44A4C">
      <w:pPr>
        <w:shd w:val="clear" w:color="auto" w:fill="FFFFFF" w:themeFill="background1"/>
        <w:spacing w:before="120" w:after="0" w:line="240" w:lineRule="auto"/>
        <w:jc w:val="both"/>
        <w:rPr>
          <w:rFonts w:eastAsia="Times New Roman" w:cs="Times New Roman"/>
          <w:lang w:eastAsia="fr-FR"/>
        </w:rPr>
      </w:pPr>
      <w:r w:rsidRPr="00FF4E16">
        <w:rPr>
          <w:rFonts w:eastAsia="Times New Roman" w:cs="Times New Roman"/>
          <w:lang w:eastAsia="fr-FR"/>
        </w:rPr>
        <w:t>Conformément à la loi modifiée du 8 juin 1999 sur le budget, la comptabilité et la trésorerie de l’Etat (www.legilux.public.lu/leg/a/archives/1999/0068/a068.pdf" \l "page=6), les subsides doivent être utilisés aux fins desquelles ils ont été accordés et les bénéficiaires doivent justifier de l'utilisation du subside reçu.</w:t>
      </w:r>
    </w:p>
    <w:p w14:paraId="1CE18623" w14:textId="54C0B933" w:rsidR="00A44A4C" w:rsidRDefault="00FF4E16" w:rsidP="00A44A4C">
      <w:pPr>
        <w:shd w:val="clear" w:color="auto" w:fill="FFFFFF" w:themeFill="background1"/>
        <w:spacing w:before="120" w:after="0" w:line="240" w:lineRule="auto"/>
        <w:jc w:val="both"/>
        <w:rPr>
          <w:rFonts w:eastAsia="Times New Roman" w:cs="Times New Roman"/>
          <w:lang w:eastAsia="fr-FR"/>
        </w:rPr>
      </w:pPr>
      <w:r w:rsidRPr="00FF4E16">
        <w:rPr>
          <w:rFonts w:eastAsia="Times New Roman" w:cs="Times New Roman"/>
          <w:lang w:eastAsia="fr-FR"/>
        </w:rPr>
        <w:t>Conformément à l’article 83 de la loi sur le budget, la comptabilité et la trésorerie de l’Etat, les subsides doivent être restitués à l'Etat dans le cas où les déclarations se révèle</w:t>
      </w:r>
      <w:r>
        <w:rPr>
          <w:rFonts w:eastAsia="Times New Roman" w:cs="Times New Roman"/>
          <w:lang w:eastAsia="fr-FR"/>
        </w:rPr>
        <w:t>raie</w:t>
      </w:r>
      <w:r w:rsidRPr="00FF4E16">
        <w:rPr>
          <w:rFonts w:eastAsia="Times New Roman" w:cs="Times New Roman"/>
          <w:lang w:eastAsia="fr-FR"/>
        </w:rPr>
        <w:t>nt être inexactes ou incomplètes, dans le cas où l'utilisation du concours financier ne correspond</w:t>
      </w:r>
      <w:r>
        <w:rPr>
          <w:rFonts w:eastAsia="Times New Roman" w:cs="Times New Roman"/>
          <w:lang w:eastAsia="fr-FR"/>
        </w:rPr>
        <w:t>rait</w:t>
      </w:r>
      <w:r w:rsidRPr="00FF4E16">
        <w:rPr>
          <w:rFonts w:eastAsia="Times New Roman" w:cs="Times New Roman"/>
          <w:lang w:eastAsia="fr-FR"/>
        </w:rPr>
        <w:t xml:space="preserve"> pas à la fin pour </w:t>
      </w:r>
      <w:r w:rsidRPr="00FF4E16">
        <w:rPr>
          <w:rFonts w:eastAsia="Times New Roman" w:cs="Times New Roman"/>
          <w:lang w:eastAsia="fr-FR"/>
        </w:rPr>
        <w:lastRenderedPageBreak/>
        <w:t>laquelle il a été accordé ou dans le cas où les agents ou</w:t>
      </w:r>
      <w:r>
        <w:rPr>
          <w:rFonts w:eastAsia="Times New Roman" w:cs="Times New Roman"/>
          <w:lang w:eastAsia="fr-FR"/>
        </w:rPr>
        <w:t xml:space="preserve"> services chargés du contrôle seraie</w:t>
      </w:r>
      <w:r w:rsidRPr="00FF4E16">
        <w:rPr>
          <w:rFonts w:eastAsia="Times New Roman" w:cs="Times New Roman"/>
          <w:lang w:eastAsia="fr-FR"/>
        </w:rPr>
        <w:t xml:space="preserve">nt entravés dans l'exercice de leurs missions par </w:t>
      </w:r>
      <w:r w:rsidR="00A44A4C">
        <w:rPr>
          <w:rFonts w:eastAsia="Times New Roman" w:cs="Times New Roman"/>
          <w:lang w:eastAsia="fr-FR"/>
        </w:rPr>
        <w:t>le bénéficiaire.</w:t>
      </w:r>
    </w:p>
    <w:p w14:paraId="008DC009" w14:textId="77777777" w:rsidR="00035884" w:rsidRPr="00FF4E16" w:rsidRDefault="00035884" w:rsidP="00A44A4C">
      <w:pPr>
        <w:shd w:val="clear" w:color="auto" w:fill="FFFFFF" w:themeFill="background1"/>
        <w:spacing w:before="120" w:after="0" w:line="240" w:lineRule="auto"/>
        <w:jc w:val="both"/>
        <w:rPr>
          <w:rFonts w:eastAsia="Times New Roman" w:cs="Times New Roman"/>
          <w:lang w:eastAsia="fr-FR"/>
        </w:rPr>
      </w:pPr>
    </w:p>
    <w:p w14:paraId="17D23E90" w14:textId="27BF6EA8" w:rsidR="00FF4E16" w:rsidRDefault="00FF4E16" w:rsidP="004463A6">
      <w:pPr>
        <w:tabs>
          <w:tab w:val="left" w:pos="1134"/>
          <w:tab w:val="center" w:pos="4536"/>
          <w:tab w:val="right" w:pos="9072"/>
        </w:tabs>
        <w:spacing w:after="0" w:line="240" w:lineRule="auto"/>
        <w:jc w:val="both"/>
        <w:rPr>
          <w:rFonts w:eastAsia="Times New Roman" w:cs="Times New Roman"/>
          <w:lang w:eastAsia="fr-FR"/>
        </w:rPr>
      </w:pPr>
      <w:r w:rsidRPr="00FF4E16">
        <w:rPr>
          <w:rFonts w:eastAsia="Times New Roman" w:cs="Times New Roman"/>
          <w:lang w:eastAsia="fr-FR"/>
        </w:rPr>
        <w:t>En cas de double financement public, les sommes indûment touchées devront être restituées intégralement par le bénéficiaire à l’Etat luxembourgeois.</w:t>
      </w:r>
    </w:p>
    <w:p w14:paraId="530251A8" w14:textId="77777777" w:rsidR="00FF4E16" w:rsidRDefault="00FF4E16" w:rsidP="00927063">
      <w:pPr>
        <w:tabs>
          <w:tab w:val="left" w:pos="1134"/>
          <w:tab w:val="center" w:pos="4536"/>
          <w:tab w:val="right" w:pos="9072"/>
        </w:tabs>
        <w:spacing w:after="0" w:line="240" w:lineRule="auto"/>
        <w:rPr>
          <w:rFonts w:eastAsia="Times New Roman" w:cs="Times New Roman"/>
          <w:lang w:eastAsia="fr-FR"/>
        </w:rPr>
      </w:pPr>
    </w:p>
    <w:p w14:paraId="161304B1" w14:textId="77777777" w:rsidR="00C847A1" w:rsidRPr="00927063" w:rsidRDefault="00C847A1" w:rsidP="00927063">
      <w:pPr>
        <w:tabs>
          <w:tab w:val="left" w:pos="1134"/>
          <w:tab w:val="center" w:pos="4536"/>
          <w:tab w:val="right" w:pos="9072"/>
        </w:tabs>
        <w:spacing w:after="0" w:line="240" w:lineRule="auto"/>
        <w:rPr>
          <w:rFonts w:eastAsia="Times New Roman" w:cs="Arial"/>
          <w:b/>
          <w:lang w:eastAsia="fr-FR"/>
        </w:rPr>
      </w:pPr>
    </w:p>
    <w:p w14:paraId="2FC65F0F" w14:textId="77777777" w:rsidR="00927063" w:rsidRPr="00927063" w:rsidRDefault="00927063" w:rsidP="00927063">
      <w:pPr>
        <w:tabs>
          <w:tab w:val="left" w:pos="1134"/>
          <w:tab w:val="center" w:pos="4536"/>
          <w:tab w:val="right" w:pos="9072"/>
        </w:tabs>
        <w:spacing w:after="0" w:line="240" w:lineRule="auto"/>
        <w:jc w:val="both"/>
        <w:rPr>
          <w:rFonts w:eastAsia="Times New Roman" w:cs="Arial"/>
          <w:lang w:eastAsia="fr-FR"/>
        </w:rPr>
      </w:pPr>
    </w:p>
    <w:p w14:paraId="0EEC6020" w14:textId="0BED89F0" w:rsidR="00684F98" w:rsidRPr="00262F6C" w:rsidRDefault="000A5292" w:rsidP="00684F98">
      <w:pPr>
        <w:tabs>
          <w:tab w:val="left" w:pos="1134"/>
          <w:tab w:val="center" w:pos="4536"/>
          <w:tab w:val="right" w:pos="9072"/>
        </w:tabs>
        <w:spacing w:after="0" w:line="240" w:lineRule="auto"/>
        <w:jc w:val="both"/>
        <w:rPr>
          <w:rFonts w:eastAsia="Times New Roman" w:cs="Arial"/>
          <w:b/>
          <w:lang w:eastAsia="fr-FR"/>
        </w:rPr>
      </w:pPr>
      <w:r w:rsidRPr="00262F6C">
        <w:rPr>
          <w:rFonts w:eastAsia="Times New Roman" w:cs="Arial"/>
          <w:b/>
          <w:lang w:eastAsia="fr-FR"/>
        </w:rPr>
        <w:t xml:space="preserve">4. Assistance dans l’élaboration d’actions et de projets et </w:t>
      </w:r>
      <w:r w:rsidR="008901A8">
        <w:rPr>
          <w:rFonts w:eastAsia="Times New Roman" w:cs="Arial"/>
          <w:b/>
          <w:lang w:eastAsia="fr-FR"/>
        </w:rPr>
        <w:t xml:space="preserve">prise de </w:t>
      </w:r>
      <w:r w:rsidRPr="00262F6C">
        <w:rPr>
          <w:rFonts w:eastAsia="Times New Roman" w:cs="Arial"/>
          <w:b/>
          <w:lang w:eastAsia="fr-FR"/>
        </w:rPr>
        <w:t>contact :</w:t>
      </w:r>
    </w:p>
    <w:p w14:paraId="4C027EB2" w14:textId="77777777" w:rsidR="000A5292" w:rsidRDefault="000A5292" w:rsidP="00684F98">
      <w:pPr>
        <w:tabs>
          <w:tab w:val="left" w:pos="1134"/>
          <w:tab w:val="center" w:pos="4536"/>
          <w:tab w:val="right" w:pos="9072"/>
        </w:tabs>
        <w:spacing w:after="0" w:line="240" w:lineRule="auto"/>
        <w:jc w:val="both"/>
        <w:rPr>
          <w:rFonts w:eastAsia="Times New Roman" w:cs="Arial"/>
          <w:lang w:eastAsia="fr-FR"/>
        </w:rPr>
      </w:pPr>
    </w:p>
    <w:p w14:paraId="1B3B7AAA" w14:textId="00975B5B" w:rsidR="000A5292" w:rsidRDefault="000A5292" w:rsidP="004463A6">
      <w:pPr>
        <w:pStyle w:val="ListParagraph"/>
        <w:numPr>
          <w:ilvl w:val="0"/>
          <w:numId w:val="17"/>
        </w:numPr>
        <w:jc w:val="both"/>
      </w:pPr>
      <w:r w:rsidRPr="00AE2BB7">
        <w:t xml:space="preserve">Pour toute information complémentaire, Madame Anne Daems </w:t>
      </w:r>
      <w:r w:rsidR="00EF731F">
        <w:t xml:space="preserve">et Monsieur Michael Krapp </w:t>
      </w:r>
      <w:r w:rsidRPr="00AE2BB7">
        <w:t>se tien</w:t>
      </w:r>
      <w:r w:rsidR="00EF731F">
        <w:t>nen</w:t>
      </w:r>
      <w:r w:rsidRPr="00AE2BB7">
        <w:t>t à votre disposition.</w:t>
      </w:r>
    </w:p>
    <w:p w14:paraId="499857F9" w14:textId="77777777" w:rsidR="00EF731F" w:rsidRDefault="00EF731F" w:rsidP="00EF731F">
      <w:pPr>
        <w:pStyle w:val="ListParagraph"/>
        <w:jc w:val="both"/>
      </w:pPr>
    </w:p>
    <w:p w14:paraId="1792B5F9" w14:textId="5C631105" w:rsidR="00F1245A" w:rsidRDefault="00D54BCD" w:rsidP="00F1245A">
      <w:pPr>
        <w:pStyle w:val="ListParagraph"/>
        <w:pBdr>
          <w:top w:val="single" w:sz="4" w:space="1" w:color="auto"/>
          <w:left w:val="single" w:sz="4" w:space="4" w:color="auto"/>
          <w:bottom w:val="single" w:sz="4" w:space="1" w:color="auto"/>
          <w:right w:val="single" w:sz="4" w:space="4" w:color="auto"/>
        </w:pBdr>
        <w:ind w:left="0" w:firstLine="708"/>
        <w:jc w:val="center"/>
      </w:pPr>
      <w:hyperlink r:id="rId9" w:history="1">
        <w:r w:rsidR="00F1245A" w:rsidRPr="00154E3F">
          <w:rPr>
            <w:rStyle w:val="Hyperlink"/>
            <w:b/>
          </w:rPr>
          <w:t>communes@integration.etat.lu</w:t>
        </w:r>
      </w:hyperlink>
    </w:p>
    <w:p w14:paraId="6E7B2CF1" w14:textId="4C5AE389" w:rsidR="000A5292" w:rsidRDefault="00F1245A" w:rsidP="00F1245A">
      <w:pPr>
        <w:pBdr>
          <w:top w:val="single" w:sz="4" w:space="1" w:color="auto"/>
          <w:left w:val="single" w:sz="4" w:space="4" w:color="auto"/>
          <w:bottom w:val="single" w:sz="4" w:space="1" w:color="auto"/>
          <w:right w:val="single" w:sz="4" w:space="4" w:color="auto"/>
        </w:pBdr>
        <w:ind w:firstLine="708"/>
        <w:jc w:val="center"/>
      </w:pPr>
      <w:r>
        <w:t xml:space="preserve">Tél. : </w:t>
      </w:r>
      <w:r w:rsidR="000A5292">
        <w:t>247 – 65</w:t>
      </w:r>
      <w:r w:rsidR="00992A9D">
        <w:t xml:space="preserve"> </w:t>
      </w:r>
      <w:r w:rsidR="000A5292">
        <w:t>798</w:t>
      </w:r>
      <w:r w:rsidR="00992A9D">
        <w:t xml:space="preserve"> ou </w:t>
      </w:r>
      <w:r w:rsidR="00992A9D" w:rsidRPr="00992A9D">
        <w:t>247</w:t>
      </w:r>
      <w:r w:rsidR="00992A9D">
        <w:t xml:space="preserve"> - </w:t>
      </w:r>
      <w:r w:rsidR="00992A9D" w:rsidRPr="00992A9D">
        <w:t>85</w:t>
      </w:r>
      <w:r w:rsidR="00992A9D">
        <w:t xml:space="preserve"> </w:t>
      </w:r>
      <w:r w:rsidR="00992A9D" w:rsidRPr="00992A9D">
        <w:t>795</w:t>
      </w:r>
    </w:p>
    <w:p w14:paraId="484FD353" w14:textId="77777777" w:rsidR="000A5292" w:rsidRDefault="000A5292" w:rsidP="004463A6">
      <w:pPr>
        <w:pStyle w:val="ListParagraph"/>
        <w:jc w:val="both"/>
      </w:pPr>
    </w:p>
    <w:p w14:paraId="12C882DE" w14:textId="3D275B64" w:rsidR="000A5292" w:rsidRDefault="000A5292" w:rsidP="004463A6">
      <w:pPr>
        <w:pStyle w:val="ListParagraph"/>
        <w:numPr>
          <w:ilvl w:val="0"/>
          <w:numId w:val="17"/>
        </w:numPr>
        <w:jc w:val="both"/>
      </w:pPr>
      <w:r w:rsidRPr="000A5292">
        <w:t xml:space="preserve">Le </w:t>
      </w:r>
      <w:r w:rsidRPr="00262F6C">
        <w:rPr>
          <w:b/>
        </w:rPr>
        <w:t>Gr</w:t>
      </w:r>
      <w:r w:rsidRPr="000A5292">
        <w:t>oupe d’</w:t>
      </w:r>
      <w:r w:rsidRPr="00262F6C">
        <w:rPr>
          <w:b/>
        </w:rPr>
        <w:t>E</w:t>
      </w:r>
      <w:r w:rsidRPr="000A5292">
        <w:t xml:space="preserve">change et de </w:t>
      </w:r>
      <w:r w:rsidRPr="00262F6C">
        <w:rPr>
          <w:b/>
        </w:rPr>
        <w:t>S</w:t>
      </w:r>
      <w:r w:rsidRPr="000A5292">
        <w:t>outien en matière d’</w:t>
      </w:r>
      <w:r w:rsidRPr="00262F6C">
        <w:rPr>
          <w:b/>
        </w:rPr>
        <w:t>I</w:t>
      </w:r>
      <w:r w:rsidRPr="000A5292">
        <w:t xml:space="preserve">ntégration au niveau </w:t>
      </w:r>
      <w:r w:rsidRPr="00262F6C">
        <w:rPr>
          <w:b/>
        </w:rPr>
        <w:t>L</w:t>
      </w:r>
      <w:r w:rsidRPr="000A5292">
        <w:t>ocal (</w:t>
      </w:r>
      <w:r w:rsidRPr="00262F6C">
        <w:rPr>
          <w:b/>
        </w:rPr>
        <w:t>GRESIL</w:t>
      </w:r>
      <w:r w:rsidRPr="000A5292">
        <w:t>) se réunit dans un rythme biannuel pour mettre en réseau les acteurs, de valoriser et d’échanger sur des bonnes pratiques et de soutenir la mise en place de mesures en matière d’intégration locale.</w:t>
      </w:r>
      <w:r w:rsidR="008901A8">
        <w:t xml:space="preserve"> Les communes sont</w:t>
      </w:r>
      <w:r>
        <w:t xml:space="preserve"> informée</w:t>
      </w:r>
      <w:r w:rsidR="008901A8">
        <w:t>s</w:t>
      </w:r>
      <w:r>
        <w:t xml:space="preserve"> des rendez-vous avec prière d’inscrire les représentants communaux, responsables politiques, </w:t>
      </w:r>
      <w:r w:rsidRPr="000A5292">
        <w:t xml:space="preserve">agents </w:t>
      </w:r>
      <w:r>
        <w:t>communaux et</w:t>
      </w:r>
      <w:r w:rsidRPr="000A5292">
        <w:t xml:space="preserve"> membres des commissions consultatives communales d’intégration</w:t>
      </w:r>
      <w:r w:rsidR="008901A8">
        <w:t xml:space="preserve"> intéressés par la matière.</w:t>
      </w:r>
    </w:p>
    <w:p w14:paraId="3C25F83A" w14:textId="77777777" w:rsidR="000A5292" w:rsidRDefault="000A5292" w:rsidP="004463A6">
      <w:pPr>
        <w:pStyle w:val="ListParagraph"/>
        <w:jc w:val="both"/>
      </w:pPr>
    </w:p>
    <w:p w14:paraId="124A2B30" w14:textId="104FAB29" w:rsidR="000A5292" w:rsidRDefault="000A5292" w:rsidP="004463A6">
      <w:pPr>
        <w:pStyle w:val="ListParagraph"/>
        <w:numPr>
          <w:ilvl w:val="0"/>
          <w:numId w:val="17"/>
        </w:numPr>
        <w:jc w:val="both"/>
      </w:pPr>
      <w:r w:rsidRPr="000A5292">
        <w:t>Dans le cadre du projet « Accompagnement des communes dans le cadre de la mise en place d’actions et de politique en matière d’intégration locale » mis en œuvre par l’Asti et conventionné par le ministère, un Helpdesk Intégration locale est à la disposition des communes et des réseaux de communes. Il s’agit d’un bureau de conseils et d’accompagnement des communes, notamment en matière d’élaboration d’un plan communal d’intégration et de demandes de cofinancements et de subventions.</w:t>
      </w:r>
    </w:p>
    <w:p w14:paraId="54F0E8A0" w14:textId="77CBF37B" w:rsidR="005D4E9D" w:rsidRPr="005D4E9D" w:rsidRDefault="005D4E9D" w:rsidP="005D4E9D">
      <w:pPr>
        <w:spacing w:before="120" w:after="120"/>
        <w:jc w:val="both"/>
        <w:rPr>
          <w:rFonts w:ascii="Calibri" w:hAnsi="Calibri" w:cs="Calibri"/>
        </w:rPr>
      </w:pPr>
    </w:p>
    <w:sectPr w:rsidR="005D4E9D" w:rsidRPr="005D4E9D" w:rsidSect="002075F5">
      <w:headerReference w:type="even" r:id="rId10"/>
      <w:headerReference w:type="default" r:id="rId11"/>
      <w:footerReference w:type="even" r:id="rId12"/>
      <w:footerReference w:type="default" r:id="rId13"/>
      <w:headerReference w:type="first" r:id="rId14"/>
      <w:footerReference w:type="first" r:id="rId15"/>
      <w:pgSz w:w="11906" w:h="16838"/>
      <w:pgMar w:top="2552" w:right="1440" w:bottom="1440" w:left="1440" w:header="56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776D22" w16cid:durableId="1E53E182"/>
  <w16cid:commentId w16cid:paraId="49CD79D3" w16cid:durableId="1E53E2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C8142" w14:textId="77777777" w:rsidR="00AF6E9B" w:rsidRDefault="00AF6E9B" w:rsidP="00BF7629">
      <w:pPr>
        <w:spacing w:after="0" w:line="240" w:lineRule="auto"/>
      </w:pPr>
      <w:r>
        <w:separator/>
      </w:r>
    </w:p>
  </w:endnote>
  <w:endnote w:type="continuationSeparator" w:id="0">
    <w:p w14:paraId="17A34F8A" w14:textId="77777777" w:rsidR="00AF6E9B" w:rsidRDefault="00AF6E9B" w:rsidP="00BF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B513E" w14:textId="77777777" w:rsidR="00D826D9" w:rsidRDefault="00D82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166357"/>
      <w:docPartObj>
        <w:docPartGallery w:val="Page Numbers (Bottom of Page)"/>
        <w:docPartUnique/>
      </w:docPartObj>
    </w:sdtPr>
    <w:sdtEndPr/>
    <w:sdtContent>
      <w:p w14:paraId="59DCFA27" w14:textId="3F349042" w:rsidR="00B710A7" w:rsidRDefault="00B710A7">
        <w:pPr>
          <w:pStyle w:val="Footer"/>
          <w:jc w:val="right"/>
        </w:pPr>
        <w:r>
          <w:fldChar w:fldCharType="begin"/>
        </w:r>
        <w:r>
          <w:instrText>PAGE   \* MERGEFORMAT</w:instrText>
        </w:r>
        <w:r>
          <w:fldChar w:fldCharType="separate"/>
        </w:r>
        <w:r w:rsidR="00D54BCD">
          <w:rPr>
            <w:noProof/>
          </w:rPr>
          <w:t>4</w:t>
        </w:r>
        <w:r>
          <w:fldChar w:fldCharType="end"/>
        </w:r>
      </w:p>
    </w:sdtContent>
  </w:sdt>
  <w:p w14:paraId="7228F00B" w14:textId="77777777" w:rsidR="00B710A7" w:rsidRDefault="00B71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A2216" w14:textId="77777777" w:rsidR="00D826D9" w:rsidRDefault="00D82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8B82B" w14:textId="77777777" w:rsidR="00AF6E9B" w:rsidRDefault="00AF6E9B" w:rsidP="00BF7629">
      <w:pPr>
        <w:spacing w:after="0" w:line="240" w:lineRule="auto"/>
      </w:pPr>
      <w:r>
        <w:separator/>
      </w:r>
    </w:p>
  </w:footnote>
  <w:footnote w:type="continuationSeparator" w:id="0">
    <w:p w14:paraId="2BDFF1FF" w14:textId="77777777" w:rsidR="00AF6E9B" w:rsidRDefault="00AF6E9B" w:rsidP="00BF7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CF98" w14:textId="77777777" w:rsidR="00D826D9" w:rsidRDefault="00D82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BCA8" w14:textId="043A7DCB" w:rsidR="00BF7629" w:rsidRDefault="00E746A9" w:rsidP="00B56C95">
    <w:pPr>
      <w:pStyle w:val="Header"/>
    </w:pPr>
    <w:r w:rsidRPr="00E746A9">
      <w:rPr>
        <w:noProof/>
        <w:lang w:val="en-US"/>
      </w:rPr>
      <w:drawing>
        <wp:inline distT="0" distB="0" distL="0" distR="0" wp14:anchorId="2D78C1C8" wp14:editId="20D2D28A">
          <wp:extent cx="2757149" cy="942975"/>
          <wp:effectExtent l="0" t="0" r="0" b="0"/>
          <wp:docPr id="2" name="Picture 2" descr="H:\Logos\GOUV_MFAMIGR_Département_de_l_intégration_Rou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gos\GOUV_MFAMIGR_Département_de_l_intégration_Rou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318" cy="96081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47DFA" w14:textId="77777777" w:rsidR="00D826D9" w:rsidRDefault="00D82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start w:val="1"/>
      <w:numFmt w:val="decimal"/>
      <w:lvlText w:val="%1."/>
      <w:lvlJc w:val="left"/>
      <w:pPr>
        <w:tabs>
          <w:tab w:val="num" w:pos="357"/>
        </w:tabs>
        <w:ind w:left="0" w:firstLine="0"/>
      </w:pPr>
      <w:rPr>
        <w:rFonts w:hint="default"/>
      </w:rPr>
    </w:lvl>
  </w:abstractNum>
  <w:abstractNum w:abstractNumId="1" w15:restartNumberingAfterBreak="0">
    <w:nsid w:val="00000009"/>
    <w:multiLevelType w:val="multilevel"/>
    <w:tmpl w:val="28AA5AEA"/>
    <w:lvl w:ilvl="0">
      <w:start w:val="1"/>
      <w:numFmt w:val="decimal"/>
      <w:lvlText w:val="%1."/>
      <w:lvlJc w:val="left"/>
      <w:pPr>
        <w:tabs>
          <w:tab w:val="num" w:pos="-360"/>
        </w:tabs>
        <w:ind w:left="360" w:hanging="360"/>
      </w:pPr>
      <w:rPr>
        <w:rFonts w:cs="Calibri" w:hint="default"/>
        <w:lang w:val="fr-CH"/>
      </w:rPr>
    </w:lvl>
    <w:lvl w:ilvl="1">
      <w:start w:val="1"/>
      <w:numFmt w:val="decimal"/>
      <w:isLgl/>
      <w:lvlText w:val="%1.%2."/>
      <w:lvlJc w:val="left"/>
      <w:pPr>
        <w:ind w:left="720" w:hanging="720"/>
      </w:pPr>
      <w:rPr>
        <w:rFonts w:ascii="Calibri" w:hAnsi="Calibri" w:cs="Calibri" w:hint="default"/>
        <w:u w:val="single"/>
      </w:rPr>
    </w:lvl>
    <w:lvl w:ilvl="2">
      <w:start w:val="1"/>
      <w:numFmt w:val="decimal"/>
      <w:isLgl/>
      <w:lvlText w:val="%1.%2.%3."/>
      <w:lvlJc w:val="left"/>
      <w:pPr>
        <w:ind w:left="720" w:hanging="720"/>
      </w:pPr>
      <w:rPr>
        <w:rFonts w:ascii="Calibri" w:hAnsi="Calibri" w:cs="Calibri" w:hint="default"/>
        <w:u w:val="single"/>
      </w:rPr>
    </w:lvl>
    <w:lvl w:ilvl="3">
      <w:start w:val="1"/>
      <w:numFmt w:val="decimal"/>
      <w:isLgl/>
      <w:lvlText w:val="%1.%2.%3.%4."/>
      <w:lvlJc w:val="left"/>
      <w:pPr>
        <w:ind w:left="1080" w:hanging="1080"/>
      </w:pPr>
      <w:rPr>
        <w:rFonts w:ascii="Calibri" w:hAnsi="Calibri" w:cs="Calibri" w:hint="default"/>
        <w:u w:val="single"/>
      </w:rPr>
    </w:lvl>
    <w:lvl w:ilvl="4">
      <w:start w:val="1"/>
      <w:numFmt w:val="decimal"/>
      <w:isLgl/>
      <w:lvlText w:val="%1.%2.%3.%4.%5."/>
      <w:lvlJc w:val="left"/>
      <w:pPr>
        <w:ind w:left="1080" w:hanging="1080"/>
      </w:pPr>
      <w:rPr>
        <w:rFonts w:ascii="Calibri" w:hAnsi="Calibri" w:cs="Calibri" w:hint="default"/>
        <w:u w:val="single"/>
      </w:rPr>
    </w:lvl>
    <w:lvl w:ilvl="5">
      <w:start w:val="1"/>
      <w:numFmt w:val="decimal"/>
      <w:isLgl/>
      <w:lvlText w:val="%1.%2.%3.%4.%5.%6."/>
      <w:lvlJc w:val="left"/>
      <w:pPr>
        <w:ind w:left="1440" w:hanging="1440"/>
      </w:pPr>
      <w:rPr>
        <w:rFonts w:ascii="Calibri" w:hAnsi="Calibri" w:cs="Calibri" w:hint="default"/>
        <w:u w:val="single"/>
      </w:rPr>
    </w:lvl>
    <w:lvl w:ilvl="6">
      <w:start w:val="1"/>
      <w:numFmt w:val="decimal"/>
      <w:isLgl/>
      <w:lvlText w:val="%1.%2.%3.%4.%5.%6.%7."/>
      <w:lvlJc w:val="left"/>
      <w:pPr>
        <w:ind w:left="1440" w:hanging="1440"/>
      </w:pPr>
      <w:rPr>
        <w:rFonts w:ascii="Calibri" w:hAnsi="Calibri" w:cs="Calibri" w:hint="default"/>
        <w:u w:val="single"/>
      </w:rPr>
    </w:lvl>
    <w:lvl w:ilvl="7">
      <w:start w:val="1"/>
      <w:numFmt w:val="decimal"/>
      <w:isLgl/>
      <w:lvlText w:val="%1.%2.%3.%4.%5.%6.%7.%8."/>
      <w:lvlJc w:val="left"/>
      <w:pPr>
        <w:ind w:left="1800" w:hanging="1800"/>
      </w:pPr>
      <w:rPr>
        <w:rFonts w:ascii="Calibri" w:hAnsi="Calibri" w:cs="Calibri" w:hint="default"/>
        <w:u w:val="single"/>
      </w:rPr>
    </w:lvl>
    <w:lvl w:ilvl="8">
      <w:start w:val="1"/>
      <w:numFmt w:val="decimal"/>
      <w:isLgl/>
      <w:lvlText w:val="%1.%2.%3.%4.%5.%6.%7.%8.%9."/>
      <w:lvlJc w:val="left"/>
      <w:pPr>
        <w:ind w:left="1800" w:hanging="1800"/>
      </w:pPr>
      <w:rPr>
        <w:rFonts w:ascii="Calibri" w:hAnsi="Calibri" w:cs="Calibri" w:hint="default"/>
        <w:u w:val="single"/>
      </w:rPr>
    </w:lvl>
  </w:abstractNum>
  <w:abstractNum w:abstractNumId="2" w15:restartNumberingAfterBreak="0">
    <w:nsid w:val="03A50C65"/>
    <w:multiLevelType w:val="hybridMultilevel"/>
    <w:tmpl w:val="64B87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B225C"/>
    <w:multiLevelType w:val="hybridMultilevel"/>
    <w:tmpl w:val="F93050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B34669"/>
    <w:multiLevelType w:val="hybridMultilevel"/>
    <w:tmpl w:val="D186A4D6"/>
    <w:lvl w:ilvl="0" w:tplc="2C36840E">
      <w:start w:val="15"/>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D946DA2"/>
    <w:multiLevelType w:val="hybridMultilevel"/>
    <w:tmpl w:val="753CE3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910B17"/>
    <w:multiLevelType w:val="hybridMultilevel"/>
    <w:tmpl w:val="5BC2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4233C"/>
    <w:multiLevelType w:val="hybridMultilevel"/>
    <w:tmpl w:val="F93050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BB674C"/>
    <w:multiLevelType w:val="hybridMultilevel"/>
    <w:tmpl w:val="4E9668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46775A"/>
    <w:multiLevelType w:val="hybridMultilevel"/>
    <w:tmpl w:val="F4AC07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4215634A"/>
    <w:multiLevelType w:val="hybridMultilevel"/>
    <w:tmpl w:val="9C88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356A3"/>
    <w:multiLevelType w:val="hybridMultilevel"/>
    <w:tmpl w:val="4AC82A12"/>
    <w:lvl w:ilvl="0" w:tplc="AAF6121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A13EE"/>
    <w:multiLevelType w:val="hybridMultilevel"/>
    <w:tmpl w:val="10528E2C"/>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5D3921A7"/>
    <w:multiLevelType w:val="hybridMultilevel"/>
    <w:tmpl w:val="8526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22E34"/>
    <w:multiLevelType w:val="hybridMultilevel"/>
    <w:tmpl w:val="78ACE0BA"/>
    <w:lvl w:ilvl="0" w:tplc="6D0A95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067284"/>
    <w:multiLevelType w:val="hybridMultilevel"/>
    <w:tmpl w:val="1820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17E37"/>
    <w:multiLevelType w:val="hybridMultilevel"/>
    <w:tmpl w:val="CC9C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1"/>
  </w:num>
  <w:num w:numId="6">
    <w:abstractNumId w:val="4"/>
  </w:num>
  <w:num w:numId="7">
    <w:abstractNumId w:val="5"/>
  </w:num>
  <w:num w:numId="8">
    <w:abstractNumId w:val="12"/>
  </w:num>
  <w:num w:numId="9">
    <w:abstractNumId w:val="16"/>
  </w:num>
  <w:num w:numId="10">
    <w:abstractNumId w:val="7"/>
  </w:num>
  <w:num w:numId="11">
    <w:abstractNumId w:val="3"/>
  </w:num>
  <w:num w:numId="12">
    <w:abstractNumId w:val="15"/>
  </w:num>
  <w:num w:numId="13">
    <w:abstractNumId w:val="13"/>
  </w:num>
  <w:num w:numId="14">
    <w:abstractNumId w:val="10"/>
  </w:num>
  <w:num w:numId="15">
    <w:abstractNumId w:val="9"/>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D8"/>
    <w:rsid w:val="00001335"/>
    <w:rsid w:val="00035884"/>
    <w:rsid w:val="000440E1"/>
    <w:rsid w:val="00054ED8"/>
    <w:rsid w:val="000658B9"/>
    <w:rsid w:val="0006633C"/>
    <w:rsid w:val="00072745"/>
    <w:rsid w:val="00074DB9"/>
    <w:rsid w:val="000A5292"/>
    <w:rsid w:val="000D5ACD"/>
    <w:rsid w:val="000D611A"/>
    <w:rsid w:val="000E01C7"/>
    <w:rsid w:val="000F3639"/>
    <w:rsid w:val="000F71A4"/>
    <w:rsid w:val="00100181"/>
    <w:rsid w:val="00141FA8"/>
    <w:rsid w:val="00146604"/>
    <w:rsid w:val="001964BA"/>
    <w:rsid w:val="001966D8"/>
    <w:rsid w:val="001C0553"/>
    <w:rsid w:val="001C0E0E"/>
    <w:rsid w:val="001D2CEF"/>
    <w:rsid w:val="002075F5"/>
    <w:rsid w:val="00210994"/>
    <w:rsid w:val="00227364"/>
    <w:rsid w:val="00234B83"/>
    <w:rsid w:val="002417B7"/>
    <w:rsid w:val="00255F63"/>
    <w:rsid w:val="00262F6C"/>
    <w:rsid w:val="002730D8"/>
    <w:rsid w:val="002953CF"/>
    <w:rsid w:val="00297243"/>
    <w:rsid w:val="002D27B3"/>
    <w:rsid w:val="002F4863"/>
    <w:rsid w:val="002F6399"/>
    <w:rsid w:val="003053B7"/>
    <w:rsid w:val="00314256"/>
    <w:rsid w:val="00321C93"/>
    <w:rsid w:val="00323226"/>
    <w:rsid w:val="00333E6E"/>
    <w:rsid w:val="00352A77"/>
    <w:rsid w:val="00390465"/>
    <w:rsid w:val="003908C8"/>
    <w:rsid w:val="003932C3"/>
    <w:rsid w:val="003A03EB"/>
    <w:rsid w:val="003B213D"/>
    <w:rsid w:val="003C34B3"/>
    <w:rsid w:val="003C55EC"/>
    <w:rsid w:val="003D3010"/>
    <w:rsid w:val="003F4CFB"/>
    <w:rsid w:val="004463A6"/>
    <w:rsid w:val="00464F30"/>
    <w:rsid w:val="0047017C"/>
    <w:rsid w:val="004B1F29"/>
    <w:rsid w:val="004D2911"/>
    <w:rsid w:val="004D58A1"/>
    <w:rsid w:val="004F1B0E"/>
    <w:rsid w:val="004F6CA9"/>
    <w:rsid w:val="00501564"/>
    <w:rsid w:val="005132C7"/>
    <w:rsid w:val="00520B2A"/>
    <w:rsid w:val="00520D84"/>
    <w:rsid w:val="0053229B"/>
    <w:rsid w:val="00553DCE"/>
    <w:rsid w:val="005569CB"/>
    <w:rsid w:val="00587509"/>
    <w:rsid w:val="00587606"/>
    <w:rsid w:val="005A1E87"/>
    <w:rsid w:val="005C62E2"/>
    <w:rsid w:val="005D12DF"/>
    <w:rsid w:val="005D4E9D"/>
    <w:rsid w:val="005E0A2E"/>
    <w:rsid w:val="005F7F9F"/>
    <w:rsid w:val="00634D20"/>
    <w:rsid w:val="006404B9"/>
    <w:rsid w:val="00641A62"/>
    <w:rsid w:val="006507D3"/>
    <w:rsid w:val="00684F98"/>
    <w:rsid w:val="00695442"/>
    <w:rsid w:val="006A23B9"/>
    <w:rsid w:val="006B0E82"/>
    <w:rsid w:val="006B6AAE"/>
    <w:rsid w:val="006C3257"/>
    <w:rsid w:val="006C3425"/>
    <w:rsid w:val="006F39C7"/>
    <w:rsid w:val="006F4EEF"/>
    <w:rsid w:val="007125C3"/>
    <w:rsid w:val="00714E73"/>
    <w:rsid w:val="00723268"/>
    <w:rsid w:val="007773FB"/>
    <w:rsid w:val="007A459A"/>
    <w:rsid w:val="007B4B9C"/>
    <w:rsid w:val="007B53FA"/>
    <w:rsid w:val="007B5AFF"/>
    <w:rsid w:val="007E3B87"/>
    <w:rsid w:val="007E5729"/>
    <w:rsid w:val="007F672F"/>
    <w:rsid w:val="00811584"/>
    <w:rsid w:val="0081399E"/>
    <w:rsid w:val="0082383E"/>
    <w:rsid w:val="0083793A"/>
    <w:rsid w:val="00837C8D"/>
    <w:rsid w:val="0084710F"/>
    <w:rsid w:val="00875AD4"/>
    <w:rsid w:val="00884121"/>
    <w:rsid w:val="0088458D"/>
    <w:rsid w:val="008901A8"/>
    <w:rsid w:val="008913A1"/>
    <w:rsid w:val="0089672A"/>
    <w:rsid w:val="008D718A"/>
    <w:rsid w:val="008E5748"/>
    <w:rsid w:val="008F4C28"/>
    <w:rsid w:val="008F673F"/>
    <w:rsid w:val="009109FA"/>
    <w:rsid w:val="00927063"/>
    <w:rsid w:val="00953D85"/>
    <w:rsid w:val="009548BB"/>
    <w:rsid w:val="00992A9D"/>
    <w:rsid w:val="009A40FE"/>
    <w:rsid w:val="009C2788"/>
    <w:rsid w:val="009D2DC8"/>
    <w:rsid w:val="009D7F9C"/>
    <w:rsid w:val="00A02E13"/>
    <w:rsid w:val="00A0755D"/>
    <w:rsid w:val="00A113F0"/>
    <w:rsid w:val="00A15D31"/>
    <w:rsid w:val="00A2351B"/>
    <w:rsid w:val="00A2382B"/>
    <w:rsid w:val="00A40B50"/>
    <w:rsid w:val="00A44A4C"/>
    <w:rsid w:val="00A62029"/>
    <w:rsid w:val="00A76E0D"/>
    <w:rsid w:val="00A9670A"/>
    <w:rsid w:val="00AB750B"/>
    <w:rsid w:val="00AD4987"/>
    <w:rsid w:val="00AD76A7"/>
    <w:rsid w:val="00AF0EA0"/>
    <w:rsid w:val="00AF252C"/>
    <w:rsid w:val="00AF6E9B"/>
    <w:rsid w:val="00B06FB6"/>
    <w:rsid w:val="00B15B43"/>
    <w:rsid w:val="00B42F58"/>
    <w:rsid w:val="00B47535"/>
    <w:rsid w:val="00B56C95"/>
    <w:rsid w:val="00B60FC2"/>
    <w:rsid w:val="00B710A7"/>
    <w:rsid w:val="00B81260"/>
    <w:rsid w:val="00BB2FD5"/>
    <w:rsid w:val="00BC24A0"/>
    <w:rsid w:val="00BD6675"/>
    <w:rsid w:val="00BE34CD"/>
    <w:rsid w:val="00BF7629"/>
    <w:rsid w:val="00C03038"/>
    <w:rsid w:val="00C067E1"/>
    <w:rsid w:val="00C2149A"/>
    <w:rsid w:val="00C376C7"/>
    <w:rsid w:val="00C7732B"/>
    <w:rsid w:val="00C840A6"/>
    <w:rsid w:val="00C847A1"/>
    <w:rsid w:val="00C8692B"/>
    <w:rsid w:val="00CA0913"/>
    <w:rsid w:val="00CE5A4F"/>
    <w:rsid w:val="00CF4BAB"/>
    <w:rsid w:val="00D1034E"/>
    <w:rsid w:val="00D34D8F"/>
    <w:rsid w:val="00D53AFE"/>
    <w:rsid w:val="00D54BCD"/>
    <w:rsid w:val="00D606C0"/>
    <w:rsid w:val="00D706A2"/>
    <w:rsid w:val="00D826D9"/>
    <w:rsid w:val="00D944F7"/>
    <w:rsid w:val="00DC0892"/>
    <w:rsid w:val="00DC3DFE"/>
    <w:rsid w:val="00DC7D6A"/>
    <w:rsid w:val="00DE35FE"/>
    <w:rsid w:val="00DE6BB0"/>
    <w:rsid w:val="00DF2159"/>
    <w:rsid w:val="00E31424"/>
    <w:rsid w:val="00E746A9"/>
    <w:rsid w:val="00EA6C85"/>
    <w:rsid w:val="00ED698A"/>
    <w:rsid w:val="00EF731F"/>
    <w:rsid w:val="00F1245A"/>
    <w:rsid w:val="00F1593D"/>
    <w:rsid w:val="00F44BD9"/>
    <w:rsid w:val="00F57C79"/>
    <w:rsid w:val="00F86E5D"/>
    <w:rsid w:val="00F93622"/>
    <w:rsid w:val="00FD3629"/>
    <w:rsid w:val="00FE5BE8"/>
    <w:rsid w:val="00FF232A"/>
    <w:rsid w:val="00FF4E16"/>
    <w:rsid w:val="00FF59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6E7B9D"/>
  <w15:docId w15:val="{711067A6-6A50-43B3-9496-32CC43F5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D8"/>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6D8"/>
    <w:pPr>
      <w:ind w:left="720"/>
      <w:contextualSpacing/>
    </w:pPr>
  </w:style>
  <w:style w:type="paragraph" w:styleId="BalloonText">
    <w:name w:val="Balloon Text"/>
    <w:basedOn w:val="Normal"/>
    <w:link w:val="BalloonTextChar"/>
    <w:uiPriority w:val="99"/>
    <w:semiHidden/>
    <w:unhideWhenUsed/>
    <w:rsid w:val="00BF7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629"/>
    <w:rPr>
      <w:rFonts w:ascii="Tahoma" w:hAnsi="Tahoma" w:cs="Tahoma"/>
      <w:sz w:val="16"/>
      <w:szCs w:val="16"/>
    </w:rPr>
  </w:style>
  <w:style w:type="paragraph" w:styleId="Header">
    <w:name w:val="header"/>
    <w:basedOn w:val="Normal"/>
    <w:link w:val="HeaderChar"/>
    <w:uiPriority w:val="99"/>
    <w:unhideWhenUsed/>
    <w:rsid w:val="00BF7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629"/>
  </w:style>
  <w:style w:type="paragraph" w:styleId="Footer">
    <w:name w:val="footer"/>
    <w:basedOn w:val="Normal"/>
    <w:link w:val="FooterChar"/>
    <w:uiPriority w:val="99"/>
    <w:unhideWhenUsed/>
    <w:rsid w:val="00BF7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629"/>
  </w:style>
  <w:style w:type="character" w:styleId="CommentReference">
    <w:name w:val="annotation reference"/>
    <w:basedOn w:val="DefaultParagraphFont"/>
    <w:uiPriority w:val="99"/>
    <w:semiHidden/>
    <w:unhideWhenUsed/>
    <w:rsid w:val="00DE6BB0"/>
    <w:rPr>
      <w:sz w:val="16"/>
      <w:szCs w:val="16"/>
    </w:rPr>
  </w:style>
  <w:style w:type="paragraph" w:styleId="CommentText">
    <w:name w:val="annotation text"/>
    <w:basedOn w:val="Normal"/>
    <w:link w:val="CommentTextChar"/>
    <w:uiPriority w:val="99"/>
    <w:unhideWhenUsed/>
    <w:rsid w:val="00DE6BB0"/>
    <w:pPr>
      <w:spacing w:line="240" w:lineRule="auto"/>
    </w:pPr>
    <w:rPr>
      <w:sz w:val="20"/>
      <w:szCs w:val="20"/>
    </w:rPr>
  </w:style>
  <w:style w:type="character" w:customStyle="1" w:styleId="CommentTextChar">
    <w:name w:val="Comment Text Char"/>
    <w:basedOn w:val="DefaultParagraphFont"/>
    <w:link w:val="CommentText"/>
    <w:uiPriority w:val="99"/>
    <w:rsid w:val="00DE6BB0"/>
    <w:rPr>
      <w:sz w:val="20"/>
      <w:szCs w:val="20"/>
    </w:rPr>
  </w:style>
  <w:style w:type="paragraph" w:styleId="CommentSubject">
    <w:name w:val="annotation subject"/>
    <w:basedOn w:val="CommentText"/>
    <w:next w:val="CommentText"/>
    <w:link w:val="CommentSubjectChar"/>
    <w:uiPriority w:val="99"/>
    <w:semiHidden/>
    <w:unhideWhenUsed/>
    <w:rsid w:val="00DE6BB0"/>
    <w:rPr>
      <w:b/>
      <w:bCs/>
    </w:rPr>
  </w:style>
  <w:style w:type="character" w:customStyle="1" w:styleId="CommentSubjectChar">
    <w:name w:val="Comment Subject Char"/>
    <w:basedOn w:val="CommentTextChar"/>
    <w:link w:val="CommentSubject"/>
    <w:uiPriority w:val="99"/>
    <w:semiHidden/>
    <w:rsid w:val="00DE6BB0"/>
    <w:rPr>
      <w:b/>
      <w:bCs/>
      <w:sz w:val="20"/>
      <w:szCs w:val="20"/>
    </w:rPr>
  </w:style>
  <w:style w:type="character" w:styleId="Hyperlink">
    <w:name w:val="Hyperlink"/>
    <w:rsid w:val="005D4E9D"/>
    <w:rPr>
      <w:color w:val="0000FF"/>
      <w:u w:val="single"/>
    </w:rPr>
  </w:style>
  <w:style w:type="paragraph" w:styleId="Revision">
    <w:name w:val="Revision"/>
    <w:hidden/>
    <w:uiPriority w:val="99"/>
    <w:semiHidden/>
    <w:rsid w:val="006B6AAE"/>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es@integration.etat.l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unes@integration.etat.l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70DF6-2091-41A3-920A-580C35C7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1484</Words>
  <Characters>8465</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Medernach</dc:creator>
  <cp:lastModifiedBy>Anne Daems</cp:lastModifiedBy>
  <cp:revision>16</cp:revision>
  <cp:lastPrinted>2019-12-11T16:06:00Z</cp:lastPrinted>
  <dcterms:created xsi:type="dcterms:W3CDTF">2020-01-08T13:24:00Z</dcterms:created>
  <dcterms:modified xsi:type="dcterms:W3CDTF">2020-02-27T16:27:00Z</dcterms:modified>
</cp:coreProperties>
</file>