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5536E" w14:textId="53CEC3D2" w:rsidR="00AA53F7" w:rsidRPr="00B2728E" w:rsidRDefault="006E5A47" w:rsidP="006E5A47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Vade-mecum pour l’établissement d</w:t>
      </w:r>
      <w:r w:rsidR="00587893">
        <w:rPr>
          <w:b/>
          <w:sz w:val="24"/>
          <w:szCs w:val="24"/>
        </w:rPr>
        <w:t>es</w:t>
      </w:r>
      <w:r>
        <w:rPr>
          <w:b/>
          <w:sz w:val="24"/>
          <w:szCs w:val="24"/>
        </w:rPr>
        <w:t xml:space="preserve"> tableau</w:t>
      </w:r>
      <w:r w:rsidR="00587893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</w:t>
      </w:r>
      <w:r w:rsidR="00587893">
        <w:rPr>
          <w:b/>
          <w:sz w:val="24"/>
          <w:szCs w:val="24"/>
        </w:rPr>
        <w:t xml:space="preserve">A et B </w:t>
      </w:r>
      <w:r>
        <w:rPr>
          <w:b/>
          <w:sz w:val="24"/>
          <w:szCs w:val="24"/>
        </w:rPr>
        <w:t>relatif</w:t>
      </w:r>
      <w:r w:rsidR="0058789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à la situation de la dette </w:t>
      </w:r>
      <w:r w:rsidR="00587893">
        <w:rPr>
          <w:b/>
          <w:sz w:val="24"/>
          <w:szCs w:val="24"/>
        </w:rPr>
        <w:t xml:space="preserve">et des avoirs financiers au 31 </w:t>
      </w:r>
      <w:r>
        <w:rPr>
          <w:b/>
          <w:sz w:val="24"/>
          <w:szCs w:val="24"/>
        </w:rPr>
        <w:t>décembre 2018</w:t>
      </w:r>
    </w:p>
    <w:p w14:paraId="607E5469" w14:textId="77777777" w:rsidR="0054127E" w:rsidRPr="00CA6CC3" w:rsidRDefault="0054127E" w:rsidP="00AA53F7">
      <w:pPr>
        <w:keepNext/>
        <w:keepLines/>
        <w:tabs>
          <w:tab w:val="num" w:pos="720"/>
        </w:tabs>
        <w:spacing w:before="200" w:after="0" w:line="240" w:lineRule="auto"/>
        <w:ind w:left="1320" w:hanging="1320"/>
        <w:outlineLvl w:val="3"/>
        <w:rPr>
          <w:rFonts w:eastAsiaTheme="majorEastAsia" w:cstheme="majorBidi"/>
          <w:b/>
          <w:bCs/>
          <w:i/>
          <w:iCs/>
          <w:sz w:val="24"/>
          <w:szCs w:val="24"/>
        </w:rPr>
      </w:pPr>
    </w:p>
    <w:p w14:paraId="69793BD9" w14:textId="77777777" w:rsidR="00AA53F7" w:rsidRPr="006C55D1" w:rsidRDefault="00AA53F7" w:rsidP="006E5A47">
      <w:pPr>
        <w:pStyle w:val="Heading1"/>
        <w:rPr>
          <w:color w:val="auto"/>
          <w:u w:val="single"/>
        </w:rPr>
      </w:pPr>
      <w:r w:rsidRPr="006C55D1">
        <w:rPr>
          <w:color w:val="auto"/>
        </w:rPr>
        <w:t>I)</w:t>
      </w:r>
      <w:r w:rsidRPr="006C55D1">
        <w:rPr>
          <w:color w:val="auto"/>
          <w:u w:val="single"/>
        </w:rPr>
        <w:t xml:space="preserve"> Remarques particulières</w:t>
      </w:r>
    </w:p>
    <w:p w14:paraId="6AF9EFC3" w14:textId="77777777" w:rsidR="006E5A47" w:rsidRPr="006E5A47" w:rsidRDefault="006E5A47" w:rsidP="006E5A47"/>
    <w:p w14:paraId="116FF651" w14:textId="7797AB6F" w:rsidR="00AA53F7" w:rsidRPr="006C55D1" w:rsidRDefault="00AA53F7" w:rsidP="00AA53F7">
      <w:pPr>
        <w:ind w:left="1320" w:hanging="1320"/>
        <w:rPr>
          <w:b/>
          <w:i/>
          <w:sz w:val="24"/>
          <w:szCs w:val="24"/>
          <w:u w:val="single"/>
        </w:rPr>
      </w:pPr>
      <w:r w:rsidRPr="006C55D1">
        <w:rPr>
          <w:b/>
          <w:i/>
          <w:sz w:val="24"/>
          <w:szCs w:val="24"/>
          <w:u w:val="single"/>
        </w:rPr>
        <w:t>Pour le tableau</w:t>
      </w:r>
      <w:r w:rsidR="008A48C0" w:rsidRPr="006C55D1">
        <w:rPr>
          <w:b/>
          <w:i/>
          <w:sz w:val="24"/>
          <w:szCs w:val="24"/>
          <w:u w:val="single"/>
        </w:rPr>
        <w:t> </w:t>
      </w:r>
      <w:r w:rsidR="00955249" w:rsidRPr="006C55D1">
        <w:rPr>
          <w:b/>
          <w:i/>
          <w:sz w:val="24"/>
          <w:szCs w:val="24"/>
          <w:u w:val="single"/>
        </w:rPr>
        <w:t xml:space="preserve">A </w:t>
      </w:r>
      <w:r w:rsidR="006E5A47" w:rsidRPr="006C55D1">
        <w:rPr>
          <w:b/>
          <w:i/>
          <w:sz w:val="24"/>
          <w:szCs w:val="24"/>
          <w:u w:val="single"/>
        </w:rPr>
        <w:t>« </w:t>
      </w:r>
      <w:r w:rsidR="003D0D30" w:rsidRPr="006C55D1">
        <w:rPr>
          <w:b/>
          <w:i/>
          <w:sz w:val="24"/>
          <w:szCs w:val="24"/>
          <w:u w:val="single"/>
        </w:rPr>
        <w:t>Situation de la dette</w:t>
      </w:r>
      <w:r w:rsidR="0070037F">
        <w:rPr>
          <w:b/>
          <w:i/>
          <w:sz w:val="24"/>
          <w:szCs w:val="24"/>
          <w:u w:val="single"/>
        </w:rPr>
        <w:t xml:space="preserve"> </w:t>
      </w:r>
      <w:r w:rsidR="006E5A47" w:rsidRPr="006C55D1">
        <w:rPr>
          <w:b/>
          <w:i/>
          <w:sz w:val="24"/>
          <w:szCs w:val="24"/>
          <w:u w:val="single"/>
        </w:rPr>
        <w:t>»</w:t>
      </w:r>
    </w:p>
    <w:p w14:paraId="0F493940" w14:textId="77777777" w:rsidR="00AA53F7" w:rsidRPr="00B2728E" w:rsidRDefault="00AA53F7" w:rsidP="00AA53F7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1 :</w:t>
      </w:r>
      <w:r w:rsidRPr="00B2728E">
        <w:rPr>
          <w:sz w:val="24"/>
          <w:szCs w:val="24"/>
        </w:rPr>
        <w:tab/>
        <w:t xml:space="preserve">Date de la décision ministérielle autorisant l’emprunt. Cette date est </w:t>
      </w:r>
      <w:r w:rsidR="00E96ED8">
        <w:rPr>
          <w:sz w:val="24"/>
          <w:szCs w:val="24"/>
        </w:rPr>
        <w:t xml:space="preserve">à </w:t>
      </w:r>
      <w:r w:rsidRPr="00B2728E">
        <w:rPr>
          <w:sz w:val="24"/>
          <w:szCs w:val="24"/>
        </w:rPr>
        <w:t>indiqu</w:t>
      </w:r>
      <w:r w:rsidR="00E96ED8">
        <w:rPr>
          <w:sz w:val="24"/>
          <w:szCs w:val="24"/>
        </w:rPr>
        <w:t>er</w:t>
      </w:r>
      <w:r w:rsidRPr="00B2728E">
        <w:rPr>
          <w:sz w:val="24"/>
          <w:szCs w:val="24"/>
        </w:rPr>
        <w:t xml:space="preserve"> sous la forme Jour/Mois/Année (J</w:t>
      </w:r>
      <w:r>
        <w:rPr>
          <w:sz w:val="24"/>
          <w:szCs w:val="24"/>
        </w:rPr>
        <w:t>J/MM/AAAA) (exemple : 03/02/201</w:t>
      </w:r>
      <w:r w:rsidR="000F0432">
        <w:rPr>
          <w:sz w:val="24"/>
          <w:szCs w:val="24"/>
        </w:rPr>
        <w:t>8</w:t>
      </w:r>
      <w:r w:rsidRPr="00B2728E">
        <w:rPr>
          <w:sz w:val="24"/>
          <w:szCs w:val="24"/>
        </w:rPr>
        <w:t xml:space="preserve">). Les emprunts sont </w:t>
      </w:r>
      <w:r w:rsidR="00E96ED8">
        <w:rPr>
          <w:sz w:val="24"/>
          <w:szCs w:val="24"/>
        </w:rPr>
        <w:t xml:space="preserve">à </w:t>
      </w:r>
      <w:r w:rsidRPr="00B2728E">
        <w:rPr>
          <w:sz w:val="24"/>
          <w:szCs w:val="24"/>
        </w:rPr>
        <w:t>répertori</w:t>
      </w:r>
      <w:r w:rsidR="00E96ED8">
        <w:rPr>
          <w:sz w:val="24"/>
          <w:szCs w:val="24"/>
        </w:rPr>
        <w:t>er</w:t>
      </w:r>
      <w:r w:rsidRPr="00B2728E">
        <w:rPr>
          <w:sz w:val="24"/>
          <w:szCs w:val="24"/>
        </w:rPr>
        <w:t xml:space="preserve"> par ordre chronologique, c’est-à-dir</w:t>
      </w:r>
      <w:r w:rsidR="00C57BD9">
        <w:rPr>
          <w:sz w:val="24"/>
          <w:szCs w:val="24"/>
        </w:rPr>
        <w:t>e du plus ancien au plus récent</w:t>
      </w:r>
    </w:p>
    <w:p w14:paraId="07260C18" w14:textId="77777777" w:rsidR="000F691C" w:rsidRDefault="00AA53F7" w:rsidP="00AA53F7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2 :</w:t>
      </w:r>
      <w:r w:rsidRPr="00B2728E">
        <w:rPr>
          <w:b/>
          <w:sz w:val="24"/>
          <w:szCs w:val="24"/>
        </w:rPr>
        <w:tab/>
      </w:r>
      <w:r w:rsidRPr="00B2728E">
        <w:rPr>
          <w:sz w:val="24"/>
          <w:szCs w:val="24"/>
        </w:rPr>
        <w:t>Montant de l’emprunt auto</w:t>
      </w:r>
      <w:r w:rsidR="00C57BD9">
        <w:rPr>
          <w:sz w:val="24"/>
          <w:szCs w:val="24"/>
        </w:rPr>
        <w:t>risé par décision ministérielle</w:t>
      </w:r>
      <w:r w:rsidRPr="00B2728E">
        <w:rPr>
          <w:sz w:val="24"/>
          <w:szCs w:val="24"/>
        </w:rPr>
        <w:t xml:space="preserve"> </w:t>
      </w:r>
    </w:p>
    <w:p w14:paraId="59AA9EE7" w14:textId="709FDD00" w:rsidR="00AA53F7" w:rsidRPr="00B2728E" w:rsidRDefault="00AA53F7" w:rsidP="00E76D3A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3 :</w:t>
      </w:r>
      <w:r w:rsidRPr="00B2728E">
        <w:rPr>
          <w:b/>
          <w:sz w:val="24"/>
          <w:szCs w:val="24"/>
        </w:rPr>
        <w:tab/>
      </w:r>
      <w:r w:rsidRPr="00B2728E">
        <w:rPr>
          <w:sz w:val="24"/>
          <w:szCs w:val="24"/>
        </w:rPr>
        <w:t>Institut financier : Il y a lieu d’indiquer l’abréviatio</w:t>
      </w:r>
      <w:r w:rsidR="002E6620">
        <w:rPr>
          <w:sz w:val="24"/>
          <w:szCs w:val="24"/>
        </w:rPr>
        <w:t>n de l’institut financier</w:t>
      </w:r>
    </w:p>
    <w:p w14:paraId="019EE7E0" w14:textId="77777777" w:rsidR="00AA53F7" w:rsidRPr="00B2728E" w:rsidRDefault="00AA53F7" w:rsidP="00AA53F7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4 :</w:t>
      </w:r>
      <w:r w:rsidRPr="00B2728E">
        <w:rPr>
          <w:sz w:val="24"/>
          <w:szCs w:val="24"/>
        </w:rPr>
        <w:tab/>
        <w:t>Numéro du compte IBAN</w:t>
      </w:r>
    </w:p>
    <w:p w14:paraId="48323BB0" w14:textId="77777777" w:rsidR="00AA53F7" w:rsidRPr="00B2728E" w:rsidRDefault="00AA53F7" w:rsidP="00AA53F7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5 :</w:t>
      </w:r>
      <w:r w:rsidRPr="00B2728E">
        <w:rPr>
          <w:sz w:val="24"/>
          <w:szCs w:val="24"/>
        </w:rPr>
        <w:tab/>
        <w:t xml:space="preserve">Durée initiale de l’emprunt </w:t>
      </w:r>
      <w:r w:rsidRPr="000F691C">
        <w:rPr>
          <w:b/>
          <w:color w:val="FF0000"/>
          <w:sz w:val="24"/>
          <w:szCs w:val="24"/>
        </w:rPr>
        <w:t>en mois</w:t>
      </w:r>
    </w:p>
    <w:p w14:paraId="4A28BB6F" w14:textId="77777777" w:rsidR="00AA53F7" w:rsidRPr="00B2728E" w:rsidRDefault="00AA53F7" w:rsidP="00AA53F7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6 :</w:t>
      </w:r>
      <w:r w:rsidRPr="00B2728E">
        <w:rPr>
          <w:sz w:val="24"/>
          <w:szCs w:val="24"/>
        </w:rPr>
        <w:tab/>
        <w:t xml:space="preserve">Durée restante de l’emprunt </w:t>
      </w:r>
      <w:r w:rsidRPr="000F691C">
        <w:rPr>
          <w:b/>
          <w:color w:val="FF0000"/>
          <w:sz w:val="24"/>
          <w:szCs w:val="24"/>
        </w:rPr>
        <w:t>en mois</w:t>
      </w:r>
      <w:r w:rsidRPr="000F691C">
        <w:rPr>
          <w:color w:val="FF0000"/>
          <w:sz w:val="24"/>
          <w:szCs w:val="24"/>
        </w:rPr>
        <w:t xml:space="preserve"> </w:t>
      </w:r>
    </w:p>
    <w:p w14:paraId="17AB773B" w14:textId="77777777" w:rsidR="00AA53F7" w:rsidRPr="00B2728E" w:rsidRDefault="00AA53F7" w:rsidP="00E76D3A">
      <w:pPr>
        <w:ind w:left="1418" w:hanging="1418"/>
        <w:rPr>
          <w:sz w:val="24"/>
          <w:szCs w:val="24"/>
        </w:rPr>
      </w:pPr>
      <w:r w:rsidRPr="00B2728E">
        <w:rPr>
          <w:b/>
          <w:sz w:val="24"/>
          <w:szCs w:val="24"/>
        </w:rPr>
        <w:t>Colonne 7 :</w:t>
      </w:r>
      <w:r w:rsidRPr="00B2728E">
        <w:rPr>
          <w:b/>
          <w:sz w:val="24"/>
          <w:szCs w:val="24"/>
        </w:rPr>
        <w:tab/>
      </w:r>
      <w:r w:rsidRPr="00B2728E">
        <w:rPr>
          <w:sz w:val="24"/>
          <w:szCs w:val="24"/>
        </w:rPr>
        <w:t>Montant libéré précédemment</w:t>
      </w:r>
      <w:r w:rsidR="00E6453F">
        <w:rPr>
          <w:sz w:val="24"/>
          <w:szCs w:val="24"/>
        </w:rPr>
        <w:t xml:space="preserve"> (à remplir aussi bien en cas d’emprunt tiré dans son entièreté qu’en cas d’emprunt tiré en tranches)</w:t>
      </w:r>
    </w:p>
    <w:p w14:paraId="2809C71C" w14:textId="77777777" w:rsidR="00AA53F7" w:rsidRPr="00B2728E" w:rsidRDefault="00AA53F7" w:rsidP="00AA53F7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8 :</w:t>
      </w:r>
      <w:r w:rsidRPr="00B2728E">
        <w:rPr>
          <w:b/>
          <w:sz w:val="24"/>
          <w:szCs w:val="24"/>
        </w:rPr>
        <w:tab/>
      </w:r>
      <w:r w:rsidRPr="00B2728E">
        <w:rPr>
          <w:sz w:val="24"/>
          <w:szCs w:val="24"/>
        </w:rPr>
        <w:t xml:space="preserve">Montant libéré cette année </w:t>
      </w:r>
    </w:p>
    <w:p w14:paraId="1A284B40" w14:textId="77777777" w:rsidR="00AA53F7" w:rsidRPr="00B2728E" w:rsidRDefault="00AA53F7" w:rsidP="00AA53F7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9 :</w:t>
      </w:r>
      <w:r w:rsidRPr="00B2728E">
        <w:rPr>
          <w:sz w:val="24"/>
          <w:szCs w:val="24"/>
        </w:rPr>
        <w:tab/>
        <w:t>Montant restant à libérer</w:t>
      </w:r>
    </w:p>
    <w:p w14:paraId="16DB9412" w14:textId="77777777" w:rsidR="00AA53F7" w:rsidRPr="00B2728E" w:rsidRDefault="00AA53F7" w:rsidP="00AA53F7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10 </w:t>
      </w:r>
      <w:r w:rsidRPr="00B2728E">
        <w:rPr>
          <w:sz w:val="24"/>
          <w:szCs w:val="24"/>
        </w:rPr>
        <w:t>:</w:t>
      </w:r>
      <w:r w:rsidRPr="00B2728E">
        <w:rPr>
          <w:sz w:val="24"/>
          <w:szCs w:val="24"/>
        </w:rPr>
        <w:tab/>
      </w:r>
      <w:r>
        <w:rPr>
          <w:sz w:val="24"/>
          <w:szCs w:val="24"/>
        </w:rPr>
        <w:t>Dette au 31</w:t>
      </w:r>
      <w:r w:rsidR="000F691C">
        <w:rPr>
          <w:sz w:val="24"/>
          <w:szCs w:val="24"/>
        </w:rPr>
        <w:t>/</w:t>
      </w:r>
      <w:r>
        <w:rPr>
          <w:sz w:val="24"/>
          <w:szCs w:val="24"/>
        </w:rPr>
        <w:t>12</w:t>
      </w:r>
      <w:r w:rsidR="000F691C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0F0432">
        <w:rPr>
          <w:sz w:val="24"/>
          <w:szCs w:val="24"/>
        </w:rPr>
        <w:t>7</w:t>
      </w:r>
      <w:r w:rsidRPr="00B2728E">
        <w:rPr>
          <w:sz w:val="24"/>
          <w:szCs w:val="24"/>
        </w:rPr>
        <w:t xml:space="preserve"> </w:t>
      </w:r>
      <w:bookmarkStart w:id="0" w:name="OLE_LINK1"/>
      <w:r w:rsidRPr="00B2728E">
        <w:rPr>
          <w:sz w:val="24"/>
          <w:szCs w:val="24"/>
        </w:rPr>
        <w:t>(ne pas utiliser de signe négatif)</w:t>
      </w:r>
    </w:p>
    <w:bookmarkEnd w:id="0"/>
    <w:p w14:paraId="00CC2466" w14:textId="77777777" w:rsidR="00AA53F7" w:rsidRPr="00B2728E" w:rsidRDefault="00AA53F7" w:rsidP="00E359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11 :</w:t>
      </w:r>
      <w:r w:rsidRPr="00B2728E">
        <w:rPr>
          <w:b/>
          <w:sz w:val="24"/>
          <w:szCs w:val="24"/>
        </w:rPr>
        <w:tab/>
      </w:r>
      <w:r w:rsidRPr="00B2728E">
        <w:rPr>
          <w:sz w:val="24"/>
          <w:szCs w:val="24"/>
        </w:rPr>
        <w:t>Annuité payée (capital + intérêts + frais payés</w:t>
      </w:r>
      <w:r>
        <w:rPr>
          <w:sz w:val="24"/>
          <w:szCs w:val="24"/>
        </w:rPr>
        <w:t>) en 2</w:t>
      </w:r>
      <w:r w:rsidR="00B04CEB">
        <w:rPr>
          <w:sz w:val="24"/>
          <w:szCs w:val="24"/>
        </w:rPr>
        <w:t>01</w:t>
      </w:r>
      <w:r w:rsidR="000F0432">
        <w:rPr>
          <w:sz w:val="24"/>
          <w:szCs w:val="24"/>
        </w:rPr>
        <w:t>8</w:t>
      </w:r>
    </w:p>
    <w:p w14:paraId="329D16D3" w14:textId="77777777" w:rsidR="00AA53F7" w:rsidRPr="00B2728E" w:rsidRDefault="00AA53F7" w:rsidP="00E359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12 :</w:t>
      </w:r>
      <w:r w:rsidRPr="00B2728E">
        <w:rPr>
          <w:b/>
          <w:sz w:val="24"/>
          <w:szCs w:val="24"/>
        </w:rPr>
        <w:tab/>
      </w:r>
      <w:r w:rsidRPr="00B2728E">
        <w:rPr>
          <w:bCs/>
          <w:sz w:val="24"/>
          <w:szCs w:val="24"/>
        </w:rPr>
        <w:t xml:space="preserve">Montant du capital remboursé </w:t>
      </w:r>
      <w:r>
        <w:rPr>
          <w:sz w:val="24"/>
          <w:szCs w:val="24"/>
        </w:rPr>
        <w:t>en 201</w:t>
      </w:r>
      <w:r w:rsidR="000F0432">
        <w:rPr>
          <w:sz w:val="24"/>
          <w:szCs w:val="24"/>
        </w:rPr>
        <w:t>8</w:t>
      </w:r>
      <w:r w:rsidR="00E6453F">
        <w:rPr>
          <w:sz w:val="24"/>
          <w:szCs w:val="24"/>
        </w:rPr>
        <w:t xml:space="preserve"> (si ce détail ne figure pas sur l’extrait bancaire, </w:t>
      </w:r>
      <w:r w:rsidR="00FD34E5">
        <w:rPr>
          <w:sz w:val="24"/>
          <w:szCs w:val="24"/>
        </w:rPr>
        <w:t>prière</w:t>
      </w:r>
      <w:r w:rsidR="00E6453F">
        <w:rPr>
          <w:sz w:val="24"/>
          <w:szCs w:val="24"/>
        </w:rPr>
        <w:t xml:space="preserve"> de bien vouloir </w:t>
      </w:r>
      <w:r w:rsidR="008533C1">
        <w:rPr>
          <w:sz w:val="24"/>
          <w:szCs w:val="24"/>
        </w:rPr>
        <w:t xml:space="preserve">le calculer, respectivement </w:t>
      </w:r>
      <w:r w:rsidR="00E6453F">
        <w:rPr>
          <w:sz w:val="24"/>
          <w:szCs w:val="24"/>
        </w:rPr>
        <w:t xml:space="preserve">le demander auprès </w:t>
      </w:r>
      <w:proofErr w:type="gramStart"/>
      <w:r w:rsidR="00E6453F">
        <w:rPr>
          <w:sz w:val="24"/>
          <w:szCs w:val="24"/>
        </w:rPr>
        <w:t>de</w:t>
      </w:r>
      <w:proofErr w:type="gramEnd"/>
      <w:r w:rsidR="00E6453F">
        <w:rPr>
          <w:sz w:val="24"/>
          <w:szCs w:val="24"/>
        </w:rPr>
        <w:t xml:space="preserve"> </w:t>
      </w:r>
      <w:r w:rsidR="00FD34E5">
        <w:rPr>
          <w:sz w:val="24"/>
          <w:szCs w:val="24"/>
        </w:rPr>
        <w:t>l’</w:t>
      </w:r>
      <w:r w:rsidR="00E6453F">
        <w:rPr>
          <w:sz w:val="24"/>
          <w:szCs w:val="24"/>
        </w:rPr>
        <w:t>institut financier)</w:t>
      </w:r>
    </w:p>
    <w:p w14:paraId="4F817837" w14:textId="77777777" w:rsidR="00AA53F7" w:rsidRPr="00B2728E" w:rsidRDefault="00AA53F7" w:rsidP="00E359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13 :</w:t>
      </w:r>
      <w:r w:rsidRPr="00B2728E">
        <w:rPr>
          <w:b/>
          <w:sz w:val="24"/>
          <w:szCs w:val="24"/>
        </w:rPr>
        <w:tab/>
      </w:r>
      <w:r w:rsidRPr="00B2728E">
        <w:rPr>
          <w:sz w:val="24"/>
          <w:szCs w:val="24"/>
        </w:rPr>
        <w:t>Montant des intérêts payés</w:t>
      </w:r>
      <w:r>
        <w:rPr>
          <w:sz w:val="24"/>
          <w:szCs w:val="24"/>
        </w:rPr>
        <w:t xml:space="preserve"> en 201</w:t>
      </w:r>
      <w:r w:rsidR="000F0432">
        <w:rPr>
          <w:sz w:val="24"/>
          <w:szCs w:val="24"/>
        </w:rPr>
        <w:t>8</w:t>
      </w:r>
      <w:r w:rsidR="00E6453F">
        <w:rPr>
          <w:sz w:val="24"/>
          <w:szCs w:val="24"/>
        </w:rPr>
        <w:t xml:space="preserve"> (ne pas utiliser de signe négatif</w:t>
      </w:r>
      <w:r w:rsidR="00B04CEB">
        <w:rPr>
          <w:sz w:val="24"/>
          <w:szCs w:val="24"/>
        </w:rPr>
        <w:t xml:space="preserve">, </w:t>
      </w:r>
      <w:r w:rsidR="00B04CEB" w:rsidRPr="00800E61">
        <w:rPr>
          <w:b/>
          <w:sz w:val="24"/>
          <w:szCs w:val="24"/>
        </w:rPr>
        <w:t>sauf pour les comptes à intérêts positifs</w:t>
      </w:r>
      <w:r w:rsidR="00E6453F">
        <w:rPr>
          <w:sz w:val="24"/>
          <w:szCs w:val="24"/>
        </w:rPr>
        <w:t>)</w:t>
      </w:r>
    </w:p>
    <w:p w14:paraId="34EDB9F9" w14:textId="77777777" w:rsidR="00AA53F7" w:rsidRPr="00B2728E" w:rsidRDefault="00AA53F7" w:rsidP="00AA53F7">
      <w:pPr>
        <w:ind w:left="1418" w:hanging="1418"/>
        <w:jc w:val="both"/>
        <w:rPr>
          <w:bCs/>
          <w:sz w:val="24"/>
          <w:szCs w:val="24"/>
        </w:rPr>
      </w:pPr>
      <w:r w:rsidRPr="00B2728E">
        <w:rPr>
          <w:b/>
          <w:bCs/>
          <w:sz w:val="24"/>
          <w:szCs w:val="24"/>
        </w:rPr>
        <w:t>Colonne 14 :</w:t>
      </w:r>
      <w:r w:rsidRPr="00B2728E">
        <w:rPr>
          <w:bCs/>
          <w:sz w:val="24"/>
          <w:szCs w:val="24"/>
        </w:rPr>
        <w:t xml:space="preserve"> </w:t>
      </w:r>
      <w:r w:rsidRPr="00B2728E">
        <w:rPr>
          <w:bCs/>
          <w:sz w:val="24"/>
          <w:szCs w:val="24"/>
        </w:rPr>
        <w:tab/>
        <w:t xml:space="preserve">Frais de compte liés à l’emprunt </w:t>
      </w:r>
      <w:r>
        <w:rPr>
          <w:sz w:val="24"/>
          <w:szCs w:val="24"/>
        </w:rPr>
        <w:t>en 201</w:t>
      </w:r>
      <w:r w:rsidR="000F0432">
        <w:rPr>
          <w:sz w:val="24"/>
          <w:szCs w:val="24"/>
        </w:rPr>
        <w:t>8</w:t>
      </w:r>
    </w:p>
    <w:p w14:paraId="1F045B7A" w14:textId="77777777" w:rsidR="00C57BD9" w:rsidRDefault="00C57BD9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361EE1" w14:textId="77777777" w:rsidR="00397EB8" w:rsidRDefault="00AA53F7" w:rsidP="00ED2754">
      <w:pPr>
        <w:spacing w:after="0" w:line="240" w:lineRule="auto"/>
        <w:ind w:left="1418" w:hanging="1418"/>
        <w:jc w:val="both"/>
        <w:rPr>
          <w:bCs/>
          <w:sz w:val="24"/>
          <w:szCs w:val="24"/>
          <w:u w:val="single"/>
        </w:rPr>
      </w:pPr>
      <w:r w:rsidRPr="00B2728E">
        <w:rPr>
          <w:b/>
          <w:sz w:val="24"/>
          <w:szCs w:val="24"/>
        </w:rPr>
        <w:lastRenderedPageBreak/>
        <w:t>Colonne 15 :</w:t>
      </w:r>
      <w:r w:rsidRPr="00B2728E">
        <w:rPr>
          <w:b/>
          <w:sz w:val="24"/>
          <w:szCs w:val="24"/>
        </w:rPr>
        <w:tab/>
      </w:r>
      <w:r w:rsidRPr="00B2728E">
        <w:rPr>
          <w:bCs/>
          <w:sz w:val="24"/>
          <w:szCs w:val="24"/>
        </w:rPr>
        <w:t xml:space="preserve">Charges d’intérêts </w:t>
      </w:r>
      <w:r w:rsidR="00FD34E5">
        <w:rPr>
          <w:bCs/>
          <w:sz w:val="24"/>
          <w:szCs w:val="24"/>
        </w:rPr>
        <w:t>non</w:t>
      </w:r>
      <w:r w:rsidRPr="00B2728E">
        <w:rPr>
          <w:bCs/>
          <w:sz w:val="24"/>
          <w:szCs w:val="24"/>
        </w:rPr>
        <w:t xml:space="preserve"> payées pendant l’année </w:t>
      </w:r>
      <w:r>
        <w:rPr>
          <w:sz w:val="24"/>
          <w:szCs w:val="24"/>
        </w:rPr>
        <w:t>201</w:t>
      </w:r>
      <w:r w:rsidR="000F0432">
        <w:rPr>
          <w:sz w:val="24"/>
          <w:szCs w:val="24"/>
        </w:rPr>
        <w:t>8</w:t>
      </w:r>
    </w:p>
    <w:p w14:paraId="084B6320" w14:textId="0DA32430" w:rsidR="00397EB8" w:rsidRDefault="00C57BD9" w:rsidP="00ED2754">
      <w:pPr>
        <w:spacing w:after="0" w:line="240" w:lineRule="auto"/>
        <w:ind w:left="1418" w:hanging="2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Exemple : </w:t>
      </w:r>
      <w:r w:rsidR="009D1DA2">
        <w:rPr>
          <w:rFonts w:eastAsia="Times New Roman" w:cs="Times New Roman"/>
          <w:sz w:val="24"/>
          <w:szCs w:val="24"/>
          <w:lang w:eastAsia="fr-FR"/>
        </w:rPr>
        <w:t>U</w:t>
      </w:r>
      <w:r w:rsidR="00AA53F7" w:rsidRPr="00B2728E">
        <w:rPr>
          <w:rFonts w:eastAsia="Times New Roman" w:cs="Times New Roman"/>
          <w:sz w:val="24"/>
          <w:szCs w:val="24"/>
          <w:lang w:eastAsia="fr-FR"/>
        </w:rPr>
        <w:t>n nouvel emprunt est contract</w:t>
      </w:r>
      <w:r w:rsidR="00AA53F7">
        <w:rPr>
          <w:rFonts w:eastAsia="Times New Roman" w:cs="Times New Roman"/>
          <w:sz w:val="24"/>
          <w:szCs w:val="24"/>
          <w:lang w:eastAsia="fr-FR"/>
        </w:rPr>
        <w:t>é et libéré pendant l’année 201</w:t>
      </w:r>
      <w:r w:rsidR="000F0432">
        <w:rPr>
          <w:rFonts w:eastAsia="Times New Roman" w:cs="Times New Roman"/>
          <w:sz w:val="24"/>
          <w:szCs w:val="24"/>
          <w:lang w:eastAsia="fr-FR"/>
        </w:rPr>
        <w:t>8</w:t>
      </w:r>
      <w:r w:rsidR="00AA53F7" w:rsidRPr="00B2728E">
        <w:rPr>
          <w:rFonts w:eastAsia="Times New Roman" w:cs="Times New Roman"/>
          <w:sz w:val="24"/>
          <w:szCs w:val="24"/>
          <w:lang w:eastAsia="fr-FR"/>
        </w:rPr>
        <w:t xml:space="preserve"> et il n’e</w:t>
      </w:r>
      <w:r w:rsidR="00AA53F7">
        <w:rPr>
          <w:rFonts w:eastAsia="Times New Roman" w:cs="Times New Roman"/>
          <w:sz w:val="24"/>
          <w:szCs w:val="24"/>
          <w:lang w:eastAsia="fr-FR"/>
        </w:rPr>
        <w:t>st remboursé qu’à partir de 201</w:t>
      </w:r>
      <w:r w:rsidR="000F0432">
        <w:rPr>
          <w:rFonts w:eastAsia="Times New Roman" w:cs="Times New Roman"/>
          <w:sz w:val="24"/>
          <w:szCs w:val="24"/>
          <w:lang w:eastAsia="fr-FR"/>
        </w:rPr>
        <w:t>9</w:t>
      </w:r>
      <w:r w:rsidR="00AA53F7" w:rsidRPr="00B2728E">
        <w:rPr>
          <w:rFonts w:eastAsia="Times New Roman" w:cs="Times New Roman"/>
          <w:sz w:val="24"/>
          <w:szCs w:val="24"/>
          <w:lang w:eastAsia="fr-FR"/>
        </w:rPr>
        <w:t xml:space="preserve">. Dans ce cas, des intérêts débiteurs sont dus mais ces intérêts ne sont </w:t>
      </w:r>
      <w:r w:rsidR="00AA53F7">
        <w:rPr>
          <w:rFonts w:eastAsia="Times New Roman" w:cs="Times New Roman"/>
          <w:sz w:val="24"/>
          <w:szCs w:val="24"/>
          <w:lang w:eastAsia="fr-FR"/>
        </w:rPr>
        <w:t>normalement pas payés en 201</w:t>
      </w:r>
      <w:r w:rsidR="000F0432">
        <w:rPr>
          <w:rFonts w:eastAsia="Times New Roman" w:cs="Times New Roman"/>
          <w:sz w:val="24"/>
          <w:szCs w:val="24"/>
          <w:lang w:eastAsia="fr-FR"/>
        </w:rPr>
        <w:t>8</w:t>
      </w:r>
      <w:r w:rsidR="002E6620">
        <w:rPr>
          <w:rFonts w:eastAsia="Times New Roman" w:cs="Times New Roman"/>
          <w:sz w:val="24"/>
          <w:szCs w:val="24"/>
          <w:lang w:eastAsia="fr-FR"/>
        </w:rPr>
        <w:t>.</w:t>
      </w:r>
    </w:p>
    <w:p w14:paraId="4F267DBE" w14:textId="77777777" w:rsidR="00ED2754" w:rsidRPr="00397EB8" w:rsidRDefault="00ED2754" w:rsidP="00ED2754">
      <w:pPr>
        <w:spacing w:after="0" w:line="240" w:lineRule="auto"/>
        <w:ind w:left="1418" w:hanging="2"/>
        <w:jc w:val="both"/>
        <w:rPr>
          <w:rFonts w:eastAsia="Times New Roman" w:cs="Times New Roman"/>
          <w:sz w:val="24"/>
          <w:szCs w:val="24"/>
          <w:lang w:eastAsia="fr-FR"/>
        </w:rPr>
      </w:pPr>
    </w:p>
    <w:p w14:paraId="12B2C7EE" w14:textId="77777777" w:rsidR="00AA53F7" w:rsidRDefault="00AA53F7" w:rsidP="00AA53F7">
      <w:pPr>
        <w:ind w:left="1418" w:hanging="1418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 16 :</w:t>
      </w:r>
      <w:r w:rsidRPr="00B2728E">
        <w:rPr>
          <w:b/>
          <w:sz w:val="24"/>
          <w:szCs w:val="24"/>
        </w:rPr>
        <w:tab/>
      </w:r>
      <w:r w:rsidRPr="00B2728E">
        <w:rPr>
          <w:sz w:val="24"/>
          <w:szCs w:val="24"/>
        </w:rPr>
        <w:t xml:space="preserve">Dette </w:t>
      </w:r>
      <w:r>
        <w:rPr>
          <w:bCs/>
          <w:sz w:val="24"/>
          <w:szCs w:val="24"/>
        </w:rPr>
        <w:t>au 31</w:t>
      </w:r>
      <w:r w:rsidR="000F691C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12</w:t>
      </w:r>
      <w:r w:rsidR="000F691C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201</w:t>
      </w:r>
      <w:r w:rsidR="000F0432">
        <w:rPr>
          <w:bCs/>
          <w:sz w:val="24"/>
          <w:szCs w:val="24"/>
        </w:rPr>
        <w:t>8</w:t>
      </w:r>
      <w:r w:rsidRPr="00B2728E">
        <w:rPr>
          <w:bCs/>
          <w:sz w:val="24"/>
          <w:szCs w:val="24"/>
        </w:rPr>
        <w:t xml:space="preserve"> </w:t>
      </w:r>
      <w:r w:rsidRPr="00B2728E">
        <w:rPr>
          <w:sz w:val="24"/>
          <w:szCs w:val="24"/>
        </w:rPr>
        <w:t>(ne pas utiliser de signe négatif)</w:t>
      </w:r>
    </w:p>
    <w:p w14:paraId="6FACAA22" w14:textId="77777777" w:rsidR="007A1C55" w:rsidRDefault="00FD34E5" w:rsidP="007A1C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est précisé que </w:t>
      </w:r>
      <w:r w:rsidR="007A1C55" w:rsidRPr="00C57BD9">
        <w:rPr>
          <w:b/>
          <w:bCs/>
          <w:sz w:val="24"/>
          <w:szCs w:val="24"/>
        </w:rPr>
        <w:t>les données sur l’évolution de la dette sont à tirer exclusivement des extraits de compte (et non pas de</w:t>
      </w:r>
      <w:r w:rsidR="00ED2754">
        <w:rPr>
          <w:b/>
          <w:bCs/>
          <w:sz w:val="24"/>
          <w:szCs w:val="24"/>
        </w:rPr>
        <w:t xml:space="preserve"> tableaux d’amortissement ou d</w:t>
      </w:r>
      <w:proofErr w:type="gramStart"/>
      <w:r w:rsidR="00ED2754">
        <w:rPr>
          <w:b/>
          <w:bCs/>
          <w:sz w:val="24"/>
          <w:szCs w:val="24"/>
        </w:rPr>
        <w:t>’</w:t>
      </w:r>
      <w:r w:rsidR="00752F07" w:rsidRPr="00C57BD9">
        <w:rPr>
          <w:b/>
          <w:bCs/>
          <w:sz w:val="24"/>
          <w:szCs w:val="24"/>
        </w:rPr>
        <w:t>«</w:t>
      </w:r>
      <w:r w:rsidR="007A1C55" w:rsidRPr="00C57BD9">
        <w:rPr>
          <w:b/>
          <w:bCs/>
          <w:sz w:val="24"/>
          <w:szCs w:val="24"/>
        </w:rPr>
        <w:t>informations</w:t>
      </w:r>
      <w:proofErr w:type="gramEnd"/>
      <w:r w:rsidR="007A1C55" w:rsidRPr="00C57BD9">
        <w:rPr>
          <w:b/>
          <w:bCs/>
          <w:sz w:val="24"/>
          <w:szCs w:val="24"/>
        </w:rPr>
        <w:t> ») délivrés par les instituts bancaires (ou des organismes assimilés).</w:t>
      </w:r>
    </w:p>
    <w:p w14:paraId="4E07CECA" w14:textId="30C95006" w:rsidR="00AA53F7" w:rsidRPr="006C55D1" w:rsidRDefault="00AA53F7" w:rsidP="00AA53F7">
      <w:pPr>
        <w:ind w:left="1320" w:hanging="1320"/>
        <w:jc w:val="both"/>
        <w:rPr>
          <w:b/>
          <w:i/>
          <w:sz w:val="24"/>
          <w:szCs w:val="24"/>
          <w:u w:val="single"/>
        </w:rPr>
      </w:pPr>
      <w:r w:rsidRPr="006C55D1">
        <w:rPr>
          <w:b/>
          <w:i/>
          <w:sz w:val="24"/>
          <w:szCs w:val="24"/>
          <w:u w:val="single"/>
        </w:rPr>
        <w:t>Pour le tableau</w:t>
      </w:r>
      <w:r w:rsidR="006E5A47" w:rsidRPr="006C55D1">
        <w:rPr>
          <w:b/>
          <w:i/>
          <w:sz w:val="24"/>
          <w:szCs w:val="24"/>
          <w:u w:val="single"/>
        </w:rPr>
        <w:t> </w:t>
      </w:r>
      <w:r w:rsidR="00955249" w:rsidRPr="006C55D1">
        <w:rPr>
          <w:b/>
          <w:i/>
          <w:sz w:val="24"/>
          <w:szCs w:val="24"/>
          <w:u w:val="single"/>
        </w:rPr>
        <w:t xml:space="preserve">B </w:t>
      </w:r>
      <w:proofErr w:type="gramStart"/>
      <w:r w:rsidR="006E5A47" w:rsidRPr="006C55D1">
        <w:rPr>
          <w:b/>
          <w:i/>
          <w:sz w:val="24"/>
          <w:szCs w:val="24"/>
          <w:u w:val="single"/>
        </w:rPr>
        <w:t>« </w:t>
      </w:r>
      <w:r w:rsidRPr="006C55D1">
        <w:rPr>
          <w:b/>
          <w:i/>
          <w:sz w:val="24"/>
          <w:szCs w:val="24"/>
          <w:u w:val="single"/>
        </w:rPr>
        <w:t xml:space="preserve"> </w:t>
      </w:r>
      <w:r w:rsidR="00E24A20" w:rsidRPr="006C55D1">
        <w:rPr>
          <w:b/>
          <w:i/>
          <w:sz w:val="24"/>
          <w:szCs w:val="24"/>
          <w:u w:val="single"/>
        </w:rPr>
        <w:t>S</w:t>
      </w:r>
      <w:r w:rsidR="003D0D30" w:rsidRPr="006C55D1">
        <w:rPr>
          <w:b/>
          <w:i/>
          <w:sz w:val="24"/>
          <w:szCs w:val="24"/>
          <w:u w:val="single"/>
        </w:rPr>
        <w:t>ituation</w:t>
      </w:r>
      <w:proofErr w:type="gramEnd"/>
      <w:r w:rsidR="003D0D30" w:rsidRPr="006C55D1">
        <w:rPr>
          <w:b/>
          <w:i/>
          <w:sz w:val="24"/>
          <w:szCs w:val="24"/>
          <w:u w:val="single"/>
        </w:rPr>
        <w:t xml:space="preserve"> des avoirs financiers</w:t>
      </w:r>
      <w:r w:rsidR="0070037F">
        <w:rPr>
          <w:b/>
          <w:i/>
          <w:sz w:val="24"/>
          <w:szCs w:val="24"/>
          <w:u w:val="single"/>
        </w:rPr>
        <w:t xml:space="preserve"> </w:t>
      </w:r>
      <w:r w:rsidR="006E5A47" w:rsidRPr="006C55D1">
        <w:rPr>
          <w:b/>
          <w:i/>
          <w:sz w:val="24"/>
          <w:szCs w:val="24"/>
          <w:u w:val="single"/>
        </w:rPr>
        <w:t>»</w:t>
      </w:r>
    </w:p>
    <w:p w14:paraId="1C94FFB7" w14:textId="1E585E51" w:rsidR="00AA53F7" w:rsidRPr="00B2728E" w:rsidRDefault="00AA53F7" w:rsidP="00001672">
      <w:pPr>
        <w:ind w:left="1416" w:hanging="1416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 xml:space="preserve">Colonne </w:t>
      </w:r>
      <w:r>
        <w:rPr>
          <w:b/>
          <w:sz w:val="24"/>
          <w:szCs w:val="24"/>
        </w:rPr>
        <w:t>1</w:t>
      </w:r>
      <w:r w:rsidRPr="00B2728E">
        <w:rPr>
          <w:b/>
          <w:sz w:val="24"/>
          <w:szCs w:val="24"/>
        </w:rPr>
        <w:t> :</w:t>
      </w:r>
      <w:r w:rsidRPr="00B2728E">
        <w:rPr>
          <w:sz w:val="24"/>
          <w:szCs w:val="24"/>
        </w:rPr>
        <w:tab/>
        <w:t>Institut financier : Il y a lieu d’indiquer l’abré</w:t>
      </w:r>
      <w:r w:rsidR="002E6620">
        <w:rPr>
          <w:sz w:val="24"/>
          <w:szCs w:val="24"/>
        </w:rPr>
        <w:t>viation de l’institut financier</w:t>
      </w:r>
    </w:p>
    <w:p w14:paraId="1B22CB47" w14:textId="77777777" w:rsidR="00AA53F7" w:rsidRPr="00B2728E" w:rsidRDefault="00AA53F7" w:rsidP="00AA53F7">
      <w:pPr>
        <w:ind w:left="1276" w:hanging="1276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 xml:space="preserve">Colonne </w:t>
      </w:r>
      <w:r>
        <w:rPr>
          <w:b/>
          <w:sz w:val="24"/>
          <w:szCs w:val="24"/>
        </w:rPr>
        <w:t>2</w:t>
      </w:r>
      <w:r w:rsidRPr="00B2728E">
        <w:rPr>
          <w:b/>
          <w:sz w:val="24"/>
          <w:szCs w:val="24"/>
        </w:rPr>
        <w:t> :</w:t>
      </w:r>
      <w:r w:rsidRPr="00B2728E">
        <w:rPr>
          <w:sz w:val="24"/>
          <w:szCs w:val="24"/>
        </w:rPr>
        <w:tab/>
      </w:r>
      <w:r w:rsidR="005E32BC">
        <w:rPr>
          <w:sz w:val="24"/>
          <w:szCs w:val="24"/>
        </w:rPr>
        <w:tab/>
      </w:r>
      <w:r w:rsidRPr="00B2728E">
        <w:rPr>
          <w:sz w:val="24"/>
          <w:szCs w:val="24"/>
        </w:rPr>
        <w:t>Numéro du compte IBAN</w:t>
      </w:r>
    </w:p>
    <w:p w14:paraId="20DD1453" w14:textId="77777777" w:rsidR="00AA53F7" w:rsidRPr="00B2728E" w:rsidRDefault="00AA53F7" w:rsidP="00AA53F7">
      <w:pPr>
        <w:ind w:left="1276" w:hanging="1276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>Colonne</w:t>
      </w:r>
      <w:r>
        <w:rPr>
          <w:b/>
          <w:sz w:val="24"/>
          <w:szCs w:val="24"/>
        </w:rPr>
        <w:t xml:space="preserve"> 3</w:t>
      </w:r>
      <w:r w:rsidRPr="00B2728E">
        <w:rPr>
          <w:b/>
          <w:sz w:val="24"/>
          <w:szCs w:val="24"/>
        </w:rPr>
        <w:t> :</w:t>
      </w:r>
      <w:r w:rsidRPr="00B2728E">
        <w:rPr>
          <w:sz w:val="24"/>
          <w:szCs w:val="24"/>
        </w:rPr>
        <w:tab/>
      </w:r>
      <w:r w:rsidR="005E32BC">
        <w:rPr>
          <w:sz w:val="24"/>
          <w:szCs w:val="24"/>
        </w:rPr>
        <w:tab/>
      </w:r>
      <w:r w:rsidRPr="00B2728E">
        <w:rPr>
          <w:sz w:val="24"/>
          <w:szCs w:val="24"/>
        </w:rPr>
        <w:t>Type de compte bancaire</w:t>
      </w:r>
      <w:r w:rsidR="00433557">
        <w:rPr>
          <w:sz w:val="24"/>
          <w:szCs w:val="24"/>
        </w:rPr>
        <w:t xml:space="preserve"> (</w:t>
      </w:r>
      <w:r w:rsidR="00E6453F">
        <w:rPr>
          <w:sz w:val="24"/>
          <w:szCs w:val="24"/>
        </w:rPr>
        <w:t>selon la liste déroulante) :</w:t>
      </w:r>
    </w:p>
    <w:p w14:paraId="5C616A19" w14:textId="77777777" w:rsidR="00AA53F7" w:rsidRPr="00B2728E" w:rsidRDefault="00AA53F7" w:rsidP="005E32BC">
      <w:pPr>
        <w:ind w:left="1276" w:firstLine="140"/>
        <w:jc w:val="both"/>
        <w:rPr>
          <w:sz w:val="24"/>
          <w:szCs w:val="24"/>
        </w:rPr>
      </w:pPr>
      <w:r w:rsidRPr="00B2728E">
        <w:rPr>
          <w:sz w:val="24"/>
          <w:szCs w:val="24"/>
        </w:rPr>
        <w:t xml:space="preserve">CC = </w:t>
      </w:r>
      <w:r w:rsidR="009D1DA2">
        <w:rPr>
          <w:sz w:val="24"/>
          <w:szCs w:val="24"/>
        </w:rPr>
        <w:t>c</w:t>
      </w:r>
      <w:r w:rsidRPr="00B2728E">
        <w:rPr>
          <w:sz w:val="24"/>
          <w:szCs w:val="24"/>
        </w:rPr>
        <w:t>ompte courant</w:t>
      </w:r>
    </w:p>
    <w:p w14:paraId="203038E5" w14:textId="77777777" w:rsidR="00AA53F7" w:rsidRPr="00B2728E" w:rsidRDefault="00AA53F7" w:rsidP="005E32BC">
      <w:pPr>
        <w:ind w:left="1276" w:firstLine="140"/>
        <w:jc w:val="both"/>
        <w:rPr>
          <w:sz w:val="24"/>
          <w:szCs w:val="24"/>
        </w:rPr>
      </w:pPr>
      <w:r w:rsidRPr="00B2728E">
        <w:rPr>
          <w:sz w:val="24"/>
          <w:szCs w:val="24"/>
        </w:rPr>
        <w:t>CT = compte à terme</w:t>
      </w:r>
    </w:p>
    <w:p w14:paraId="75036DAC" w14:textId="77777777" w:rsidR="00AA53F7" w:rsidRPr="00B2728E" w:rsidRDefault="00AA53F7" w:rsidP="009D1DA2">
      <w:pPr>
        <w:tabs>
          <w:tab w:val="left" w:pos="1843"/>
          <w:tab w:val="left" w:pos="1985"/>
        </w:tabs>
        <w:ind w:left="1843" w:hanging="427"/>
        <w:jc w:val="both"/>
        <w:rPr>
          <w:sz w:val="24"/>
          <w:szCs w:val="24"/>
        </w:rPr>
      </w:pPr>
      <w:r w:rsidRPr="00B2728E">
        <w:rPr>
          <w:sz w:val="24"/>
          <w:szCs w:val="24"/>
        </w:rPr>
        <w:t>CV = compte à vue, épargne à vue, placements et autres comptes sans échéance fixe</w:t>
      </w:r>
    </w:p>
    <w:p w14:paraId="1F936070" w14:textId="77777777" w:rsidR="00AA53F7" w:rsidRPr="00B2728E" w:rsidRDefault="00AA53F7" w:rsidP="005E32BC">
      <w:pPr>
        <w:ind w:left="2127" w:hanging="711"/>
        <w:jc w:val="both"/>
        <w:rPr>
          <w:sz w:val="24"/>
          <w:szCs w:val="24"/>
        </w:rPr>
      </w:pPr>
      <w:r w:rsidRPr="00B2728E">
        <w:rPr>
          <w:sz w:val="24"/>
          <w:szCs w:val="24"/>
        </w:rPr>
        <w:t xml:space="preserve">REBU = compte réserve budgétaire </w:t>
      </w:r>
    </w:p>
    <w:p w14:paraId="73E77363" w14:textId="77777777" w:rsidR="00AA53F7" w:rsidRPr="00B2728E" w:rsidRDefault="00AA53F7" w:rsidP="005E32BC">
      <w:pPr>
        <w:ind w:left="1985" w:hanging="569"/>
        <w:jc w:val="both"/>
        <w:rPr>
          <w:sz w:val="24"/>
          <w:szCs w:val="24"/>
        </w:rPr>
      </w:pPr>
      <w:r w:rsidRPr="00B2728E">
        <w:rPr>
          <w:sz w:val="24"/>
          <w:szCs w:val="24"/>
        </w:rPr>
        <w:t xml:space="preserve">REPL = compte réserve pacte logement </w:t>
      </w:r>
    </w:p>
    <w:p w14:paraId="1142A0D8" w14:textId="77777777" w:rsidR="00AA53F7" w:rsidRDefault="00AA53F7" w:rsidP="005E32BC">
      <w:pPr>
        <w:ind w:left="1276" w:firstLine="140"/>
        <w:jc w:val="both"/>
        <w:rPr>
          <w:sz w:val="24"/>
          <w:szCs w:val="24"/>
        </w:rPr>
      </w:pPr>
      <w:r w:rsidRPr="00B2728E">
        <w:rPr>
          <w:sz w:val="24"/>
          <w:szCs w:val="24"/>
        </w:rPr>
        <w:t xml:space="preserve">AUTRES = autres avoirs de la trésorerie </w:t>
      </w:r>
    </w:p>
    <w:p w14:paraId="442125F5" w14:textId="77777777" w:rsidR="00AA53F7" w:rsidRDefault="00AA53F7" w:rsidP="005E32BC">
      <w:pPr>
        <w:ind w:left="1416"/>
        <w:jc w:val="both"/>
        <w:rPr>
          <w:b/>
          <w:color w:val="FF0000"/>
          <w:sz w:val="24"/>
          <w:szCs w:val="24"/>
          <w:u w:val="single"/>
        </w:rPr>
      </w:pPr>
      <w:r w:rsidRPr="00B2728E">
        <w:rPr>
          <w:b/>
          <w:color w:val="FF0000"/>
          <w:sz w:val="24"/>
          <w:szCs w:val="24"/>
          <w:u w:val="single"/>
        </w:rPr>
        <w:t>En principe, le montant des comptes réserve doit toujours être égal au montant inscrit au journal auxiliaire.</w:t>
      </w:r>
    </w:p>
    <w:p w14:paraId="46B9F747" w14:textId="77777777" w:rsidR="00AA53F7" w:rsidRPr="00B2728E" w:rsidRDefault="00AA53F7" w:rsidP="005E32BC">
      <w:pPr>
        <w:ind w:left="1416" w:hanging="1416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 xml:space="preserve">Colonne </w:t>
      </w:r>
      <w:r>
        <w:rPr>
          <w:b/>
          <w:sz w:val="24"/>
          <w:szCs w:val="24"/>
        </w:rPr>
        <w:t>4</w:t>
      </w:r>
      <w:r w:rsidRPr="00B2728E">
        <w:rPr>
          <w:b/>
          <w:sz w:val="24"/>
          <w:szCs w:val="24"/>
        </w:rPr>
        <w:t> :</w:t>
      </w:r>
      <w:r w:rsidRPr="00B2728E">
        <w:rPr>
          <w:sz w:val="24"/>
          <w:szCs w:val="24"/>
        </w:rPr>
        <w:tab/>
      </w:r>
      <w:r>
        <w:rPr>
          <w:sz w:val="24"/>
          <w:szCs w:val="24"/>
        </w:rPr>
        <w:t>Merci de bien vouloir préciser si une ligne de trésorerie ou une ligne de préfinancement a été autorisée sur ce compte courant</w:t>
      </w:r>
    </w:p>
    <w:p w14:paraId="0046E0A4" w14:textId="77777777" w:rsidR="0054127E" w:rsidRDefault="00AA53F7" w:rsidP="00C12442">
      <w:pPr>
        <w:ind w:left="1276" w:hanging="1276"/>
        <w:jc w:val="both"/>
        <w:rPr>
          <w:b/>
          <w:sz w:val="24"/>
          <w:szCs w:val="24"/>
        </w:rPr>
      </w:pPr>
      <w:r w:rsidRPr="00B2728E">
        <w:rPr>
          <w:b/>
          <w:sz w:val="24"/>
          <w:szCs w:val="24"/>
        </w:rPr>
        <w:t>Colonne</w:t>
      </w:r>
      <w:r>
        <w:rPr>
          <w:b/>
          <w:sz w:val="24"/>
          <w:szCs w:val="24"/>
        </w:rPr>
        <w:t xml:space="preserve"> </w:t>
      </w:r>
      <w:r w:rsidR="00955249">
        <w:rPr>
          <w:b/>
          <w:sz w:val="24"/>
          <w:szCs w:val="24"/>
        </w:rPr>
        <w:t>5</w:t>
      </w:r>
      <w:r w:rsidR="0054127E">
        <w:rPr>
          <w:b/>
          <w:sz w:val="24"/>
          <w:szCs w:val="24"/>
        </w:rPr>
        <w:t> :</w:t>
      </w:r>
      <w:r w:rsidRPr="00B2728E">
        <w:rPr>
          <w:b/>
          <w:sz w:val="24"/>
          <w:szCs w:val="24"/>
        </w:rPr>
        <w:tab/>
      </w:r>
      <w:r w:rsidR="005E32BC">
        <w:rPr>
          <w:b/>
          <w:sz w:val="24"/>
          <w:szCs w:val="24"/>
        </w:rPr>
        <w:tab/>
      </w:r>
      <w:r w:rsidRPr="00B2728E">
        <w:rPr>
          <w:sz w:val="24"/>
          <w:szCs w:val="24"/>
        </w:rPr>
        <w:t>Situatio</w:t>
      </w:r>
      <w:r>
        <w:rPr>
          <w:sz w:val="24"/>
          <w:szCs w:val="24"/>
        </w:rPr>
        <w:t>n de la trésorerie au 31</w:t>
      </w:r>
      <w:r w:rsidR="00E6453F">
        <w:rPr>
          <w:sz w:val="24"/>
          <w:szCs w:val="24"/>
        </w:rPr>
        <w:t>/</w:t>
      </w:r>
      <w:r>
        <w:rPr>
          <w:sz w:val="24"/>
          <w:szCs w:val="24"/>
        </w:rPr>
        <w:t>12</w:t>
      </w:r>
      <w:r w:rsidR="00E6453F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0F0432">
        <w:rPr>
          <w:sz w:val="24"/>
          <w:szCs w:val="24"/>
        </w:rPr>
        <w:t>7</w:t>
      </w:r>
      <w:r w:rsidRPr="00B2728E">
        <w:rPr>
          <w:sz w:val="24"/>
          <w:szCs w:val="24"/>
        </w:rPr>
        <w:t xml:space="preserve"> </w:t>
      </w:r>
    </w:p>
    <w:p w14:paraId="3A249DD7" w14:textId="77777777" w:rsidR="00E76D3A" w:rsidRDefault="00AA53F7" w:rsidP="00AA53F7">
      <w:pPr>
        <w:ind w:left="1276" w:hanging="1276"/>
        <w:jc w:val="both"/>
        <w:rPr>
          <w:sz w:val="24"/>
          <w:szCs w:val="24"/>
        </w:rPr>
      </w:pPr>
      <w:r w:rsidRPr="00B2728E">
        <w:rPr>
          <w:b/>
          <w:sz w:val="24"/>
          <w:szCs w:val="24"/>
        </w:rPr>
        <w:t xml:space="preserve">Colonne </w:t>
      </w:r>
      <w:r w:rsidR="00955249">
        <w:rPr>
          <w:b/>
          <w:sz w:val="24"/>
          <w:szCs w:val="24"/>
        </w:rPr>
        <w:t>6</w:t>
      </w:r>
      <w:r w:rsidRPr="00B2728E">
        <w:rPr>
          <w:b/>
          <w:sz w:val="24"/>
          <w:szCs w:val="24"/>
        </w:rPr>
        <w:t> :</w:t>
      </w:r>
      <w:r w:rsidRPr="00B2728E">
        <w:rPr>
          <w:b/>
          <w:sz w:val="24"/>
          <w:szCs w:val="24"/>
        </w:rPr>
        <w:tab/>
      </w:r>
      <w:r w:rsidR="005E32BC">
        <w:rPr>
          <w:b/>
          <w:sz w:val="24"/>
          <w:szCs w:val="24"/>
        </w:rPr>
        <w:tab/>
      </w:r>
      <w:r w:rsidRPr="00B2728E">
        <w:rPr>
          <w:sz w:val="24"/>
          <w:szCs w:val="24"/>
        </w:rPr>
        <w:t>Situatio</w:t>
      </w:r>
      <w:r>
        <w:rPr>
          <w:sz w:val="24"/>
          <w:szCs w:val="24"/>
        </w:rPr>
        <w:t>n de la trésorerie au 31</w:t>
      </w:r>
      <w:r w:rsidR="00E6453F">
        <w:rPr>
          <w:sz w:val="24"/>
          <w:szCs w:val="24"/>
        </w:rPr>
        <w:t>/</w:t>
      </w:r>
      <w:r>
        <w:rPr>
          <w:sz w:val="24"/>
          <w:szCs w:val="24"/>
        </w:rPr>
        <w:t>12</w:t>
      </w:r>
      <w:r w:rsidR="00E6453F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0F0432">
        <w:rPr>
          <w:sz w:val="24"/>
          <w:szCs w:val="24"/>
        </w:rPr>
        <w:t>8</w:t>
      </w:r>
      <w:r w:rsidRPr="00B2728E">
        <w:rPr>
          <w:sz w:val="24"/>
          <w:szCs w:val="24"/>
        </w:rPr>
        <w:t xml:space="preserve"> </w:t>
      </w:r>
    </w:p>
    <w:p w14:paraId="29C805AB" w14:textId="4368293A" w:rsidR="00E76D3A" w:rsidRDefault="005E32BC" w:rsidP="005E32BC">
      <w:pPr>
        <w:ind w:left="1416" w:hanging="1416"/>
        <w:jc w:val="both"/>
        <w:rPr>
          <w:sz w:val="24"/>
          <w:szCs w:val="24"/>
        </w:rPr>
      </w:pPr>
      <w:r>
        <w:rPr>
          <w:b/>
          <w:sz w:val="24"/>
          <w:szCs w:val="24"/>
        </w:rPr>
        <w:t>Lignes 48</w:t>
      </w:r>
      <w:r w:rsidRPr="005E32BC">
        <w:rPr>
          <w:b/>
          <w:sz w:val="24"/>
          <w:szCs w:val="24"/>
        </w:rPr>
        <w:t>-50 :</w:t>
      </w:r>
      <w:r>
        <w:rPr>
          <w:b/>
          <w:sz w:val="24"/>
          <w:szCs w:val="24"/>
        </w:rPr>
        <w:tab/>
      </w:r>
      <w:r w:rsidR="00FD34E5" w:rsidRPr="00FD34E5">
        <w:rPr>
          <w:sz w:val="24"/>
          <w:szCs w:val="24"/>
        </w:rPr>
        <w:t>S</w:t>
      </w:r>
      <w:r w:rsidR="00FD34E5">
        <w:rPr>
          <w:sz w:val="24"/>
          <w:szCs w:val="24"/>
        </w:rPr>
        <w:t>ont à renseigner, l</w:t>
      </w:r>
      <w:r w:rsidRPr="005E32BC">
        <w:rPr>
          <w:sz w:val="24"/>
          <w:szCs w:val="24"/>
        </w:rPr>
        <w:t xml:space="preserve">es données relatives à la </w:t>
      </w:r>
      <w:r>
        <w:rPr>
          <w:sz w:val="24"/>
          <w:szCs w:val="24"/>
        </w:rPr>
        <w:t>c</w:t>
      </w:r>
      <w:r w:rsidRPr="005E32BC">
        <w:rPr>
          <w:sz w:val="24"/>
          <w:szCs w:val="24"/>
        </w:rPr>
        <w:t xml:space="preserve">aisse et au </w:t>
      </w:r>
      <w:r>
        <w:rPr>
          <w:sz w:val="24"/>
          <w:szCs w:val="24"/>
        </w:rPr>
        <w:t>j</w:t>
      </w:r>
      <w:r w:rsidRPr="005E32BC">
        <w:rPr>
          <w:sz w:val="24"/>
          <w:szCs w:val="24"/>
        </w:rPr>
        <w:t>ournal auxiliaire</w:t>
      </w:r>
      <w:r w:rsidR="00AA0A62">
        <w:rPr>
          <w:sz w:val="24"/>
          <w:szCs w:val="24"/>
        </w:rPr>
        <w:t>,</w:t>
      </w:r>
      <w:r>
        <w:rPr>
          <w:sz w:val="24"/>
          <w:szCs w:val="24"/>
        </w:rPr>
        <w:t xml:space="preserve"> ainsi qu’à d’éventuels transferts</w:t>
      </w:r>
    </w:p>
    <w:p w14:paraId="798E3AB3" w14:textId="7BE9B0A8" w:rsidR="00AB04DF" w:rsidRDefault="00AB04DF">
      <w:pPr>
        <w:spacing w:after="160" w:line="259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06ECD1A" w14:textId="77777777" w:rsidR="00AF601B" w:rsidRDefault="00AF601B" w:rsidP="006E5A47">
      <w:pPr>
        <w:pStyle w:val="Heading1"/>
        <w:rPr>
          <w:color w:val="auto"/>
        </w:rPr>
      </w:pPr>
      <w:r w:rsidRPr="006E5A47">
        <w:rPr>
          <w:color w:val="auto"/>
        </w:rPr>
        <w:t xml:space="preserve">II) </w:t>
      </w:r>
      <w:r w:rsidRPr="006C55D1">
        <w:rPr>
          <w:color w:val="auto"/>
          <w:u w:val="single"/>
        </w:rPr>
        <w:t>Remarques générales</w:t>
      </w:r>
    </w:p>
    <w:p w14:paraId="15BF43D4" w14:textId="77777777" w:rsidR="008743BD" w:rsidRPr="008743BD" w:rsidRDefault="008743BD" w:rsidP="008743BD"/>
    <w:p w14:paraId="6599C646" w14:textId="77777777" w:rsidR="005F3617" w:rsidRPr="00254740" w:rsidRDefault="00AF601B" w:rsidP="005F3617">
      <w:pPr>
        <w:ind w:left="1320" w:hanging="1320"/>
        <w:rPr>
          <w:b/>
          <w:i/>
          <w:sz w:val="24"/>
          <w:szCs w:val="24"/>
          <w:u w:val="single"/>
        </w:rPr>
      </w:pPr>
      <w:r w:rsidRPr="00254740">
        <w:rPr>
          <w:rFonts w:eastAsia="Times New Roman" w:cs="Times New Roman"/>
          <w:b/>
          <w:i/>
          <w:sz w:val="24"/>
          <w:szCs w:val="24"/>
          <w:u w:val="single"/>
          <w:lang w:eastAsia="fr-FR"/>
        </w:rPr>
        <w:t xml:space="preserve">Pour le tableau </w:t>
      </w:r>
      <w:r w:rsidR="00955249" w:rsidRPr="00254740">
        <w:rPr>
          <w:rFonts w:eastAsia="Times New Roman" w:cs="Times New Roman"/>
          <w:b/>
          <w:i/>
          <w:sz w:val="24"/>
          <w:szCs w:val="24"/>
          <w:u w:val="single"/>
          <w:lang w:eastAsia="fr-FR"/>
        </w:rPr>
        <w:t>A « </w:t>
      </w:r>
      <w:r w:rsidR="005F3617" w:rsidRPr="00254740">
        <w:rPr>
          <w:b/>
          <w:i/>
          <w:sz w:val="24"/>
          <w:szCs w:val="24"/>
          <w:u w:val="single"/>
        </w:rPr>
        <w:t>Situation de la dette</w:t>
      </w:r>
      <w:r w:rsidR="00955249" w:rsidRPr="00254740">
        <w:rPr>
          <w:b/>
          <w:i/>
          <w:sz w:val="24"/>
          <w:szCs w:val="24"/>
          <w:u w:val="single"/>
        </w:rPr>
        <w:t> »</w:t>
      </w:r>
    </w:p>
    <w:p w14:paraId="5758565A" w14:textId="77777777" w:rsidR="00AF601B" w:rsidRPr="00B2728E" w:rsidRDefault="00AF601B" w:rsidP="00AF601B">
      <w:pPr>
        <w:tabs>
          <w:tab w:val="left" w:pos="3261"/>
          <w:tab w:val="right" w:pos="8789"/>
        </w:tabs>
        <w:spacing w:after="0" w:line="240" w:lineRule="atLeast"/>
        <w:jc w:val="both"/>
        <w:rPr>
          <w:rFonts w:eastAsia="Times New Roman" w:cs="Times New Roman"/>
          <w:sz w:val="24"/>
          <w:szCs w:val="24"/>
          <w:lang w:eastAsia="fr-FR"/>
        </w:rPr>
      </w:pPr>
      <w:r w:rsidRPr="00B2728E">
        <w:rPr>
          <w:rFonts w:eastAsia="Times New Roman" w:cs="Times New Roman"/>
          <w:sz w:val="24"/>
          <w:szCs w:val="24"/>
          <w:lang w:eastAsia="fr-FR"/>
        </w:rPr>
        <w:t xml:space="preserve">Les </w:t>
      </w:r>
      <w:r w:rsidRPr="00B2728E">
        <w:rPr>
          <w:rFonts w:eastAsia="Times New Roman" w:cs="Times New Roman"/>
          <w:b/>
          <w:bCs/>
          <w:sz w:val="24"/>
          <w:szCs w:val="24"/>
          <w:lang w:eastAsia="fr-FR"/>
        </w:rPr>
        <w:t xml:space="preserve">emprunts, pour des raisons d’uniformité, sont </w:t>
      </w:r>
      <w:r w:rsidR="00B75378">
        <w:rPr>
          <w:rFonts w:eastAsia="Times New Roman" w:cs="Times New Roman"/>
          <w:b/>
          <w:bCs/>
          <w:sz w:val="24"/>
          <w:szCs w:val="24"/>
          <w:lang w:eastAsia="fr-FR"/>
        </w:rPr>
        <w:t xml:space="preserve">à </w:t>
      </w:r>
      <w:r w:rsidRPr="00B2728E">
        <w:rPr>
          <w:rFonts w:eastAsia="Times New Roman" w:cs="Times New Roman"/>
          <w:b/>
          <w:bCs/>
          <w:sz w:val="24"/>
          <w:szCs w:val="24"/>
          <w:lang w:eastAsia="fr-FR"/>
        </w:rPr>
        <w:t>indiqu</w:t>
      </w:r>
      <w:r w:rsidR="00B75378">
        <w:rPr>
          <w:rFonts w:eastAsia="Times New Roman" w:cs="Times New Roman"/>
          <w:b/>
          <w:bCs/>
          <w:sz w:val="24"/>
          <w:szCs w:val="24"/>
          <w:lang w:eastAsia="fr-FR"/>
        </w:rPr>
        <w:t>er</w:t>
      </w:r>
      <w:r w:rsidRPr="00B2728E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par ordre chronologique</w:t>
      </w:r>
      <w:r w:rsidRPr="00B2728E">
        <w:rPr>
          <w:rFonts w:eastAsia="Times New Roman" w:cs="Times New Roman"/>
          <w:sz w:val="24"/>
          <w:szCs w:val="24"/>
          <w:lang w:eastAsia="fr-FR"/>
        </w:rPr>
        <w:t xml:space="preserve">, </w:t>
      </w:r>
      <w:r w:rsidRPr="006C55D1">
        <w:rPr>
          <w:rFonts w:eastAsia="Times New Roman" w:cs="Times New Roman"/>
          <w:b/>
          <w:color w:val="FF0000"/>
          <w:sz w:val="24"/>
          <w:szCs w:val="24"/>
          <w:lang w:eastAsia="fr-FR"/>
        </w:rPr>
        <w:t xml:space="preserve">la date à prendre en considération étant celle de la </w:t>
      </w:r>
      <w:r w:rsidRPr="00443F11">
        <w:rPr>
          <w:rFonts w:eastAsia="Times New Roman" w:cs="Times New Roman"/>
          <w:b/>
          <w:color w:val="FF0000"/>
          <w:sz w:val="24"/>
          <w:szCs w:val="24"/>
          <w:u w:val="single"/>
          <w:lang w:eastAsia="fr-FR"/>
        </w:rPr>
        <w:t>décision ministérielle autorisant l’emprunt</w:t>
      </w:r>
      <w:r w:rsidRPr="00B2728E">
        <w:rPr>
          <w:rFonts w:eastAsia="Times New Roman" w:cs="Times New Roman"/>
          <w:sz w:val="24"/>
          <w:szCs w:val="24"/>
          <w:lang w:eastAsia="fr-FR"/>
        </w:rPr>
        <w:t xml:space="preserve">. Il s’ensuit que les différentes tranches d’un même emprunt figurent toutes, l’une après l’autre, sous la date de la décision ministérielle. Tous les emprunts sont </w:t>
      </w:r>
      <w:r w:rsidR="00FD34E5">
        <w:rPr>
          <w:rFonts w:eastAsia="Times New Roman" w:cs="Times New Roman"/>
          <w:sz w:val="24"/>
          <w:szCs w:val="24"/>
          <w:lang w:eastAsia="fr-FR"/>
        </w:rPr>
        <w:t>à indiquer</w:t>
      </w:r>
      <w:r w:rsidRPr="00B2728E">
        <w:rPr>
          <w:rFonts w:eastAsia="Times New Roman" w:cs="Times New Roman"/>
          <w:sz w:val="24"/>
          <w:szCs w:val="24"/>
          <w:lang w:eastAsia="fr-FR"/>
        </w:rPr>
        <w:t>, qu’il s’agisse d’emprunts ordinaires, d’emprunts obligataires, etc.</w:t>
      </w:r>
    </w:p>
    <w:p w14:paraId="72F59C40" w14:textId="77777777" w:rsidR="00AF601B" w:rsidRPr="00B2728E" w:rsidRDefault="00AF601B" w:rsidP="00AF601B">
      <w:pPr>
        <w:tabs>
          <w:tab w:val="left" w:pos="3261"/>
          <w:tab w:val="right" w:pos="8789"/>
        </w:tabs>
        <w:spacing w:after="0" w:line="240" w:lineRule="atLeast"/>
        <w:jc w:val="both"/>
        <w:rPr>
          <w:rFonts w:eastAsia="Times New Roman" w:cs="Times New Roman"/>
          <w:sz w:val="24"/>
          <w:szCs w:val="24"/>
          <w:lang w:eastAsia="fr-FR"/>
        </w:rPr>
      </w:pPr>
    </w:p>
    <w:p w14:paraId="5378301F" w14:textId="77777777" w:rsidR="005F3617" w:rsidRPr="00070C1E" w:rsidRDefault="00AF601B" w:rsidP="005F3617">
      <w:pPr>
        <w:ind w:left="1320" w:hanging="1320"/>
        <w:jc w:val="both"/>
        <w:rPr>
          <w:b/>
          <w:i/>
          <w:sz w:val="24"/>
          <w:szCs w:val="24"/>
          <w:u w:val="single"/>
        </w:rPr>
      </w:pPr>
      <w:r w:rsidRPr="00070C1E">
        <w:rPr>
          <w:b/>
          <w:i/>
          <w:sz w:val="24"/>
          <w:szCs w:val="24"/>
          <w:u w:val="single"/>
        </w:rPr>
        <w:t xml:space="preserve">Pour le tableau </w:t>
      </w:r>
      <w:r w:rsidR="00955249" w:rsidRPr="00070C1E">
        <w:rPr>
          <w:b/>
          <w:i/>
          <w:sz w:val="24"/>
          <w:szCs w:val="24"/>
          <w:u w:val="single"/>
        </w:rPr>
        <w:t>B « </w:t>
      </w:r>
      <w:r w:rsidR="00E24A20" w:rsidRPr="00070C1E">
        <w:rPr>
          <w:b/>
          <w:i/>
          <w:sz w:val="24"/>
          <w:szCs w:val="24"/>
          <w:u w:val="single"/>
        </w:rPr>
        <w:t>S</w:t>
      </w:r>
      <w:r w:rsidR="005F3617" w:rsidRPr="00070C1E">
        <w:rPr>
          <w:b/>
          <w:i/>
          <w:sz w:val="24"/>
          <w:szCs w:val="24"/>
          <w:u w:val="single"/>
        </w:rPr>
        <w:t>ituation des avoirs financiers</w:t>
      </w:r>
      <w:r w:rsidR="00955249" w:rsidRPr="00070C1E">
        <w:rPr>
          <w:b/>
          <w:i/>
          <w:sz w:val="24"/>
          <w:szCs w:val="24"/>
          <w:u w:val="single"/>
        </w:rPr>
        <w:t> »</w:t>
      </w:r>
    </w:p>
    <w:p w14:paraId="44DAEC41" w14:textId="77777777" w:rsidR="008743BD" w:rsidRPr="00B2728E" w:rsidRDefault="008743BD" w:rsidP="00AF601B">
      <w:pPr>
        <w:ind w:left="1320" w:hanging="1320"/>
        <w:jc w:val="both"/>
        <w:rPr>
          <w:sz w:val="24"/>
          <w:szCs w:val="24"/>
        </w:rPr>
      </w:pPr>
      <w:r w:rsidRPr="008743BD">
        <w:rPr>
          <w:b/>
          <w:sz w:val="24"/>
          <w:szCs w:val="24"/>
        </w:rPr>
        <w:t>Les</w:t>
      </w:r>
      <w:r w:rsidRPr="00B2728E">
        <w:rPr>
          <w:sz w:val="24"/>
          <w:szCs w:val="24"/>
        </w:rPr>
        <w:t xml:space="preserve"> </w:t>
      </w:r>
      <w:r w:rsidRPr="00B2728E">
        <w:rPr>
          <w:b/>
          <w:bCs/>
          <w:sz w:val="24"/>
          <w:szCs w:val="24"/>
        </w:rPr>
        <w:t xml:space="preserve">comptes sont </w:t>
      </w:r>
      <w:r>
        <w:rPr>
          <w:b/>
          <w:bCs/>
          <w:sz w:val="24"/>
          <w:szCs w:val="24"/>
        </w:rPr>
        <w:t xml:space="preserve">à </w:t>
      </w:r>
      <w:r w:rsidRPr="00B2728E">
        <w:rPr>
          <w:b/>
          <w:bCs/>
          <w:sz w:val="24"/>
          <w:szCs w:val="24"/>
        </w:rPr>
        <w:t>class</w:t>
      </w:r>
      <w:r>
        <w:rPr>
          <w:b/>
          <w:bCs/>
          <w:sz w:val="24"/>
          <w:szCs w:val="24"/>
        </w:rPr>
        <w:t>er</w:t>
      </w:r>
      <w:r w:rsidRPr="00B2728E">
        <w:rPr>
          <w:b/>
          <w:bCs/>
          <w:sz w:val="24"/>
          <w:szCs w:val="24"/>
        </w:rPr>
        <w:t xml:space="preserve"> par </w:t>
      </w:r>
      <w:r>
        <w:rPr>
          <w:b/>
          <w:bCs/>
          <w:sz w:val="24"/>
          <w:szCs w:val="24"/>
        </w:rPr>
        <w:t>institut</w:t>
      </w:r>
      <w:r w:rsidRPr="00B2728E">
        <w:rPr>
          <w:b/>
          <w:bCs/>
          <w:sz w:val="24"/>
          <w:szCs w:val="24"/>
        </w:rPr>
        <w:t xml:space="preserve"> financier</w:t>
      </w:r>
      <w:r>
        <w:rPr>
          <w:b/>
          <w:bCs/>
          <w:sz w:val="24"/>
          <w:szCs w:val="24"/>
        </w:rPr>
        <w:t>.</w:t>
      </w:r>
    </w:p>
    <w:p w14:paraId="1032C272" w14:textId="77777777" w:rsidR="00AA53F7" w:rsidRPr="00955249" w:rsidRDefault="00AA53F7" w:rsidP="00955249">
      <w:pPr>
        <w:pStyle w:val="Heading1"/>
        <w:rPr>
          <w:color w:val="auto"/>
        </w:rPr>
      </w:pPr>
      <w:r w:rsidRPr="00955249">
        <w:rPr>
          <w:color w:val="auto"/>
        </w:rPr>
        <w:t xml:space="preserve">III) </w:t>
      </w:r>
      <w:r w:rsidRPr="0070037F">
        <w:rPr>
          <w:color w:val="auto"/>
          <w:u w:val="single"/>
        </w:rPr>
        <w:t>Annexes à joindre pour les différents tableaux</w:t>
      </w:r>
    </w:p>
    <w:p w14:paraId="065A4F68" w14:textId="77777777" w:rsidR="00955249" w:rsidRDefault="00955249" w:rsidP="000456FF">
      <w:pPr>
        <w:ind w:left="1320" w:hanging="1320"/>
        <w:jc w:val="both"/>
        <w:rPr>
          <w:i/>
          <w:sz w:val="24"/>
          <w:szCs w:val="24"/>
          <w:u w:val="single"/>
        </w:rPr>
      </w:pPr>
    </w:p>
    <w:p w14:paraId="51A500E7" w14:textId="77777777" w:rsidR="00AA53F7" w:rsidRPr="00254740" w:rsidRDefault="000456FF" w:rsidP="000456FF">
      <w:pPr>
        <w:ind w:left="1320" w:hanging="1320"/>
        <w:jc w:val="both"/>
        <w:rPr>
          <w:b/>
          <w:i/>
          <w:color w:val="FF0000"/>
          <w:sz w:val="24"/>
          <w:szCs w:val="24"/>
          <w:u w:val="single"/>
        </w:rPr>
      </w:pPr>
      <w:r w:rsidRPr="00254740">
        <w:rPr>
          <w:b/>
          <w:i/>
          <w:sz w:val="24"/>
          <w:szCs w:val="24"/>
          <w:u w:val="single"/>
        </w:rPr>
        <w:t>P</w:t>
      </w:r>
      <w:r w:rsidR="00AA53F7" w:rsidRPr="00254740">
        <w:rPr>
          <w:b/>
          <w:i/>
          <w:sz w:val="24"/>
          <w:szCs w:val="24"/>
          <w:u w:val="single"/>
        </w:rPr>
        <w:t xml:space="preserve">our le tableau </w:t>
      </w:r>
      <w:r w:rsidR="00955249" w:rsidRPr="00254740">
        <w:rPr>
          <w:b/>
          <w:i/>
          <w:sz w:val="24"/>
          <w:szCs w:val="24"/>
          <w:u w:val="single"/>
        </w:rPr>
        <w:t>A « </w:t>
      </w:r>
      <w:r w:rsidR="005F3617" w:rsidRPr="00254740">
        <w:rPr>
          <w:b/>
          <w:i/>
          <w:sz w:val="24"/>
          <w:szCs w:val="24"/>
          <w:u w:val="single"/>
        </w:rPr>
        <w:t>Situation de la dette</w:t>
      </w:r>
      <w:r w:rsidR="00955249" w:rsidRPr="00254740">
        <w:rPr>
          <w:b/>
          <w:i/>
          <w:sz w:val="24"/>
          <w:szCs w:val="24"/>
          <w:u w:val="single"/>
        </w:rPr>
        <w:t> »</w:t>
      </w:r>
    </w:p>
    <w:p w14:paraId="422079A1" w14:textId="03519D06" w:rsidR="005E32BC" w:rsidRDefault="00AA53F7" w:rsidP="000456FF">
      <w:pPr>
        <w:ind w:right="-1"/>
        <w:jc w:val="both"/>
        <w:rPr>
          <w:bCs/>
          <w:sz w:val="24"/>
          <w:szCs w:val="24"/>
        </w:rPr>
      </w:pPr>
      <w:r w:rsidRPr="00B2728E">
        <w:rPr>
          <w:bCs/>
          <w:sz w:val="24"/>
          <w:szCs w:val="24"/>
        </w:rPr>
        <w:t xml:space="preserve">Les entités </w:t>
      </w:r>
      <w:r w:rsidR="00FD34E5">
        <w:rPr>
          <w:bCs/>
          <w:sz w:val="24"/>
          <w:szCs w:val="24"/>
        </w:rPr>
        <w:t xml:space="preserve">communales </w:t>
      </w:r>
      <w:r w:rsidRPr="00B2728E">
        <w:rPr>
          <w:bCs/>
          <w:sz w:val="24"/>
          <w:szCs w:val="24"/>
        </w:rPr>
        <w:t>sont invitées à joindre les copies des extraits de compte au 31 décembre 201</w:t>
      </w:r>
      <w:r w:rsidR="000F043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et au 31 décembre 201</w:t>
      </w:r>
      <w:r w:rsidR="000F0432">
        <w:rPr>
          <w:bCs/>
          <w:sz w:val="24"/>
          <w:szCs w:val="24"/>
        </w:rPr>
        <w:t>8</w:t>
      </w:r>
      <w:r w:rsidRPr="00B2728E">
        <w:rPr>
          <w:bCs/>
          <w:sz w:val="24"/>
          <w:szCs w:val="24"/>
        </w:rPr>
        <w:t xml:space="preserve">, ainsi que les copies de </w:t>
      </w:r>
      <w:r w:rsidRPr="000E1683">
        <w:rPr>
          <w:b/>
          <w:bCs/>
          <w:sz w:val="24"/>
          <w:szCs w:val="24"/>
        </w:rPr>
        <w:t>tous les extraits intermédiaires</w:t>
      </w:r>
      <w:r w:rsidRPr="00B2728E">
        <w:rPr>
          <w:bCs/>
          <w:sz w:val="24"/>
          <w:szCs w:val="24"/>
        </w:rPr>
        <w:t xml:space="preserve">. </w:t>
      </w:r>
      <w:r w:rsidR="003846B2" w:rsidRPr="006C55D1">
        <w:rPr>
          <w:b/>
          <w:bCs/>
          <w:color w:val="FF0000"/>
          <w:sz w:val="24"/>
          <w:szCs w:val="24"/>
          <w:u w:val="single"/>
        </w:rPr>
        <w:t>Les extraits bancaires sont à ventiler par compte bancair</w:t>
      </w:r>
      <w:r w:rsidR="003846B2" w:rsidRPr="00D47E60">
        <w:rPr>
          <w:b/>
          <w:bCs/>
          <w:color w:val="FF0000"/>
          <w:sz w:val="24"/>
          <w:szCs w:val="24"/>
          <w:u w:val="single"/>
        </w:rPr>
        <w:t>e</w:t>
      </w:r>
      <w:r w:rsidR="003846B2" w:rsidRPr="00D47E60">
        <w:rPr>
          <w:bCs/>
          <w:color w:val="FF0000"/>
          <w:sz w:val="24"/>
          <w:szCs w:val="24"/>
        </w:rPr>
        <w:t xml:space="preserve">. </w:t>
      </w:r>
    </w:p>
    <w:p w14:paraId="72E6FBEA" w14:textId="77777777" w:rsidR="00AA53F7" w:rsidRPr="00B2728E" w:rsidRDefault="00AA53F7" w:rsidP="000456FF">
      <w:pPr>
        <w:ind w:right="-1"/>
        <w:jc w:val="both"/>
        <w:rPr>
          <w:sz w:val="24"/>
          <w:szCs w:val="24"/>
        </w:rPr>
      </w:pPr>
      <w:r w:rsidRPr="00B2728E">
        <w:rPr>
          <w:bCs/>
          <w:sz w:val="24"/>
          <w:szCs w:val="24"/>
        </w:rPr>
        <w:t>Pour les emprunts ayan</w:t>
      </w:r>
      <w:r>
        <w:rPr>
          <w:bCs/>
          <w:sz w:val="24"/>
          <w:szCs w:val="24"/>
        </w:rPr>
        <w:t>t pris cours durant l’année 201</w:t>
      </w:r>
      <w:r w:rsidR="000F0432">
        <w:rPr>
          <w:bCs/>
          <w:sz w:val="24"/>
          <w:szCs w:val="24"/>
        </w:rPr>
        <w:t>8</w:t>
      </w:r>
      <w:r w:rsidRPr="00B2728E">
        <w:rPr>
          <w:bCs/>
          <w:sz w:val="24"/>
          <w:szCs w:val="24"/>
        </w:rPr>
        <w:t xml:space="preserve">, les copies de tous les extraits relatifs à cet emprunt sont à joindre. Il est évidemment loisible aux entités </w:t>
      </w:r>
      <w:r w:rsidR="00FD34E5">
        <w:rPr>
          <w:bCs/>
          <w:sz w:val="24"/>
          <w:szCs w:val="24"/>
        </w:rPr>
        <w:t xml:space="preserve">communales </w:t>
      </w:r>
      <w:r w:rsidRPr="00B2728E">
        <w:rPr>
          <w:bCs/>
          <w:sz w:val="24"/>
          <w:szCs w:val="24"/>
        </w:rPr>
        <w:t>de joindre en copie d’autres pièces qu’elles jugeront utiles.</w:t>
      </w:r>
      <w:r w:rsidRPr="00B2728E">
        <w:rPr>
          <w:sz w:val="24"/>
          <w:szCs w:val="24"/>
        </w:rPr>
        <w:t xml:space="preserve"> </w:t>
      </w:r>
    </w:p>
    <w:p w14:paraId="225B2576" w14:textId="77777777" w:rsidR="00AA53F7" w:rsidRPr="00B2728E" w:rsidRDefault="00AA53F7" w:rsidP="000456FF">
      <w:pPr>
        <w:ind w:right="-1"/>
        <w:jc w:val="both"/>
        <w:rPr>
          <w:b/>
          <w:sz w:val="24"/>
          <w:szCs w:val="24"/>
        </w:rPr>
      </w:pPr>
      <w:r w:rsidRPr="00B2728E">
        <w:rPr>
          <w:b/>
          <w:sz w:val="24"/>
          <w:szCs w:val="24"/>
        </w:rPr>
        <w:t>Il est également possible de joindre pour chaque emprunt un relevé/certificat annuel, mentionnant la situation du com</w:t>
      </w:r>
      <w:r>
        <w:rPr>
          <w:b/>
          <w:sz w:val="24"/>
          <w:szCs w:val="24"/>
        </w:rPr>
        <w:t>pte bancaire au 31 décembre 201</w:t>
      </w:r>
      <w:r w:rsidR="000F0432">
        <w:rPr>
          <w:b/>
          <w:sz w:val="24"/>
          <w:szCs w:val="24"/>
        </w:rPr>
        <w:t>7</w:t>
      </w:r>
      <w:r w:rsidRPr="00B2728E">
        <w:rPr>
          <w:b/>
          <w:sz w:val="24"/>
          <w:szCs w:val="24"/>
        </w:rPr>
        <w:t xml:space="preserve">, le capital remboursé, les intérêts et </w:t>
      </w:r>
      <w:r>
        <w:rPr>
          <w:b/>
          <w:sz w:val="24"/>
          <w:szCs w:val="24"/>
        </w:rPr>
        <w:t>la situation au 31 décembre 201</w:t>
      </w:r>
      <w:r w:rsidR="000F0432">
        <w:rPr>
          <w:b/>
          <w:sz w:val="24"/>
          <w:szCs w:val="24"/>
        </w:rPr>
        <w:t>8</w:t>
      </w:r>
      <w:r w:rsidRPr="00B2728E">
        <w:rPr>
          <w:b/>
          <w:sz w:val="24"/>
          <w:szCs w:val="24"/>
        </w:rPr>
        <w:t>.</w:t>
      </w:r>
    </w:p>
    <w:p w14:paraId="0C863DD5" w14:textId="77777777" w:rsidR="001D1256" w:rsidRDefault="001D1256" w:rsidP="000456FF">
      <w:pPr>
        <w:ind w:left="1320" w:hanging="1320"/>
        <w:jc w:val="both"/>
        <w:rPr>
          <w:i/>
          <w:sz w:val="24"/>
          <w:szCs w:val="24"/>
          <w:u w:val="single"/>
        </w:rPr>
      </w:pPr>
    </w:p>
    <w:p w14:paraId="5BFFEA0C" w14:textId="77777777" w:rsidR="00AA53F7" w:rsidRPr="00254740" w:rsidRDefault="000456FF" w:rsidP="000456FF">
      <w:pPr>
        <w:ind w:left="1320" w:hanging="1320"/>
        <w:jc w:val="both"/>
        <w:rPr>
          <w:b/>
          <w:i/>
          <w:sz w:val="24"/>
          <w:szCs w:val="24"/>
          <w:u w:val="single"/>
        </w:rPr>
      </w:pPr>
      <w:r w:rsidRPr="00254740">
        <w:rPr>
          <w:b/>
          <w:i/>
          <w:sz w:val="24"/>
          <w:szCs w:val="24"/>
          <w:u w:val="single"/>
        </w:rPr>
        <w:t>P</w:t>
      </w:r>
      <w:r w:rsidR="00AA53F7" w:rsidRPr="00254740">
        <w:rPr>
          <w:b/>
          <w:i/>
          <w:sz w:val="24"/>
          <w:szCs w:val="24"/>
          <w:u w:val="single"/>
        </w:rPr>
        <w:t>our le tableau</w:t>
      </w:r>
      <w:r w:rsidR="00955249" w:rsidRPr="00254740">
        <w:rPr>
          <w:b/>
          <w:i/>
          <w:sz w:val="24"/>
          <w:szCs w:val="24"/>
          <w:u w:val="single"/>
        </w:rPr>
        <w:t xml:space="preserve"> B « </w:t>
      </w:r>
      <w:r w:rsidR="00E24A20" w:rsidRPr="00254740">
        <w:rPr>
          <w:b/>
          <w:i/>
          <w:sz w:val="24"/>
          <w:szCs w:val="24"/>
          <w:u w:val="single"/>
        </w:rPr>
        <w:t>S</w:t>
      </w:r>
      <w:r w:rsidR="005F3617" w:rsidRPr="00254740">
        <w:rPr>
          <w:b/>
          <w:i/>
          <w:sz w:val="24"/>
          <w:szCs w:val="24"/>
          <w:u w:val="single"/>
        </w:rPr>
        <w:t>ituation des avoirs financiers</w:t>
      </w:r>
      <w:r w:rsidR="00955249" w:rsidRPr="00254740">
        <w:rPr>
          <w:b/>
          <w:i/>
          <w:sz w:val="24"/>
          <w:szCs w:val="24"/>
          <w:u w:val="single"/>
        </w:rPr>
        <w:t> »</w:t>
      </w:r>
    </w:p>
    <w:p w14:paraId="28AB1D78" w14:textId="44E3C26A" w:rsidR="00A56E7F" w:rsidRDefault="00DB33A9" w:rsidP="0070037F">
      <w:pPr>
        <w:ind w:right="-1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Suite à l’introduction des ESF (Etat détaillé de la situation financière) en 2018, les entités qui ont envoyé leur ESF du mois de décembre 2018 via l’application MICOF-ENTCOM</w:t>
      </w:r>
      <w:r w:rsidR="00A56E7F">
        <w:rPr>
          <w:rFonts w:ascii="Calibri" w:hAnsi="Calibri" w:cs="Arial"/>
          <w:sz w:val="24"/>
          <w:szCs w:val="24"/>
        </w:rPr>
        <w:t xml:space="preserve"> au ministère de l’Intérieur,</w:t>
      </w:r>
      <w:r>
        <w:rPr>
          <w:rFonts w:ascii="Calibri" w:hAnsi="Calibri" w:cs="Arial"/>
          <w:sz w:val="24"/>
          <w:szCs w:val="24"/>
        </w:rPr>
        <w:t xml:space="preserve"> fourniront uniquement les extraits bancaires</w:t>
      </w:r>
      <w:r w:rsidR="008E059A">
        <w:rPr>
          <w:rFonts w:ascii="Calibri" w:hAnsi="Calibri" w:cs="Arial"/>
          <w:sz w:val="24"/>
          <w:szCs w:val="24"/>
        </w:rPr>
        <w:t xml:space="preserve"> </w:t>
      </w:r>
      <w:r w:rsidR="008E059A" w:rsidRPr="000456FF">
        <w:rPr>
          <w:bCs/>
          <w:sz w:val="24"/>
          <w:szCs w:val="24"/>
        </w:rPr>
        <w:t>au 31 décembre 201</w:t>
      </w:r>
      <w:r w:rsidR="008E059A">
        <w:rPr>
          <w:bCs/>
          <w:sz w:val="24"/>
          <w:szCs w:val="24"/>
        </w:rPr>
        <w:t>8</w:t>
      </w:r>
      <w:r w:rsidR="00D85614">
        <w:rPr>
          <w:bCs/>
          <w:sz w:val="24"/>
          <w:szCs w:val="24"/>
        </w:rPr>
        <w:t xml:space="preserve"> </w:t>
      </w:r>
      <w:r w:rsidR="00D85614" w:rsidRPr="00A56E7F">
        <w:rPr>
          <w:rFonts w:ascii="Calibri" w:hAnsi="Calibri" w:cs="Arial"/>
          <w:sz w:val="24"/>
          <w:szCs w:val="24"/>
        </w:rPr>
        <w:t>par voie électronique à l’adresse email</w:t>
      </w:r>
      <w:proofErr w:type="gramStart"/>
      <w:r w:rsidR="00D85614" w:rsidRPr="00A56E7F">
        <w:rPr>
          <w:rFonts w:ascii="Calibri" w:hAnsi="Calibri" w:cs="Arial"/>
          <w:sz w:val="24"/>
          <w:szCs w:val="24"/>
        </w:rPr>
        <w:t xml:space="preserve"> «finances@mi.etat.lu</w:t>
      </w:r>
      <w:proofErr w:type="gramEnd"/>
      <w:r w:rsidR="00D85614" w:rsidRPr="00A56E7F">
        <w:rPr>
          <w:rFonts w:ascii="Calibri" w:hAnsi="Calibri" w:cs="Arial"/>
          <w:sz w:val="24"/>
          <w:szCs w:val="24"/>
        </w:rPr>
        <w:t>»</w:t>
      </w:r>
      <w:r>
        <w:rPr>
          <w:rFonts w:ascii="Calibri" w:hAnsi="Calibri" w:cs="Arial"/>
          <w:sz w:val="24"/>
          <w:szCs w:val="24"/>
        </w:rPr>
        <w:t>.</w:t>
      </w:r>
    </w:p>
    <w:p w14:paraId="6963CF0A" w14:textId="77777777" w:rsidR="00A56E7F" w:rsidRDefault="00A56E7F" w:rsidP="0070037F">
      <w:pPr>
        <w:ind w:right="-1"/>
        <w:jc w:val="both"/>
        <w:rPr>
          <w:rFonts w:ascii="Calibri" w:hAnsi="Calibri" w:cs="Arial"/>
          <w:sz w:val="24"/>
          <w:szCs w:val="24"/>
        </w:rPr>
      </w:pPr>
    </w:p>
    <w:p w14:paraId="7BD2BC30" w14:textId="1A3E843A" w:rsidR="0031087E" w:rsidRPr="00A56E7F" w:rsidRDefault="00A56E7F" w:rsidP="0070037F">
      <w:pPr>
        <w:ind w:right="-1"/>
        <w:jc w:val="both"/>
        <w:rPr>
          <w:rFonts w:ascii="Calibri" w:hAnsi="Calibri" w:cs="Arial"/>
          <w:sz w:val="24"/>
          <w:szCs w:val="24"/>
        </w:rPr>
      </w:pPr>
      <w:r w:rsidRPr="00A56E7F">
        <w:rPr>
          <w:rFonts w:ascii="Calibri" w:hAnsi="Calibri" w:cs="Arial"/>
          <w:sz w:val="24"/>
          <w:szCs w:val="24"/>
        </w:rPr>
        <w:t xml:space="preserve">Les </w:t>
      </w:r>
      <w:r>
        <w:rPr>
          <w:rFonts w:ascii="Calibri" w:hAnsi="Calibri" w:cs="Arial"/>
          <w:sz w:val="24"/>
          <w:szCs w:val="24"/>
        </w:rPr>
        <w:t xml:space="preserve">entités </w:t>
      </w:r>
      <w:r>
        <w:rPr>
          <w:rFonts w:ascii="Calibri" w:hAnsi="Calibri" w:cs="Arial"/>
          <w:sz w:val="24"/>
          <w:szCs w:val="24"/>
        </w:rPr>
        <w:t xml:space="preserve">qui n’ont pas envoyé leur ESF du mois de décembre 2018, </w:t>
      </w:r>
      <w:r w:rsidRPr="00A56E7F">
        <w:rPr>
          <w:rFonts w:ascii="Calibri" w:hAnsi="Calibri" w:cs="Arial"/>
          <w:sz w:val="24"/>
          <w:szCs w:val="24"/>
        </w:rPr>
        <w:t>sont invitées à faire parvenir les extraits bancaires scannés et le tableau B dûment rempli par voie électronique sous format Excel à l’adresse email</w:t>
      </w:r>
      <w:proofErr w:type="gramStart"/>
      <w:r w:rsidRPr="00A56E7F">
        <w:rPr>
          <w:rFonts w:ascii="Calibri" w:hAnsi="Calibri" w:cs="Arial"/>
          <w:sz w:val="24"/>
          <w:szCs w:val="24"/>
        </w:rPr>
        <w:t xml:space="preserve"> «finances@mi.etat.lu</w:t>
      </w:r>
      <w:proofErr w:type="gramEnd"/>
      <w:r w:rsidRPr="00A56E7F">
        <w:rPr>
          <w:rFonts w:ascii="Calibri" w:hAnsi="Calibri" w:cs="Arial"/>
          <w:sz w:val="24"/>
          <w:szCs w:val="24"/>
        </w:rPr>
        <w:t>»</w:t>
      </w:r>
      <w:r w:rsidR="00D85614">
        <w:rPr>
          <w:rFonts w:ascii="Calibri" w:hAnsi="Calibri" w:cs="Arial"/>
          <w:sz w:val="24"/>
          <w:szCs w:val="24"/>
        </w:rPr>
        <w:t>.</w:t>
      </w:r>
      <w:bookmarkStart w:id="1" w:name="_GoBack"/>
      <w:bookmarkEnd w:id="1"/>
    </w:p>
    <w:p w14:paraId="00F49A7C" w14:textId="77777777" w:rsidR="00FB50F7" w:rsidRDefault="00FB50F7"/>
    <w:sectPr w:rsidR="00FB50F7" w:rsidSect="00C12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680" w:left="1418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1155" w14:textId="77777777" w:rsidR="00757581" w:rsidRDefault="00757581" w:rsidP="00AA53F7">
      <w:pPr>
        <w:spacing w:after="0" w:line="240" w:lineRule="auto"/>
      </w:pPr>
      <w:r>
        <w:separator/>
      </w:r>
    </w:p>
  </w:endnote>
  <w:endnote w:type="continuationSeparator" w:id="0">
    <w:p w14:paraId="4E7C90C9" w14:textId="77777777" w:rsidR="00757581" w:rsidRDefault="00757581" w:rsidP="00AA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7E29" w14:textId="77777777" w:rsidR="00C12442" w:rsidRDefault="00C12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5214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43BB895" w14:textId="169AA0F7" w:rsidR="000456FF" w:rsidRDefault="000456FF" w:rsidP="00C124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6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6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24F82E" w14:textId="77777777" w:rsidR="000456FF" w:rsidRDefault="000456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2538" w14:textId="77777777" w:rsidR="00C12442" w:rsidRDefault="00C12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7629" w14:textId="77777777" w:rsidR="00757581" w:rsidRDefault="00757581" w:rsidP="00AA53F7">
      <w:pPr>
        <w:spacing w:after="0" w:line="240" w:lineRule="auto"/>
      </w:pPr>
      <w:r>
        <w:separator/>
      </w:r>
    </w:p>
  </w:footnote>
  <w:footnote w:type="continuationSeparator" w:id="0">
    <w:p w14:paraId="5789104E" w14:textId="77777777" w:rsidR="00757581" w:rsidRDefault="00757581" w:rsidP="00AA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0760" w14:textId="77777777" w:rsidR="00C12442" w:rsidRDefault="00C12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247EB" w14:textId="77777777" w:rsidR="00C12442" w:rsidRDefault="00C12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A38DC" w14:textId="77777777" w:rsidR="00E76D3A" w:rsidRDefault="00E76D3A">
    <w:pPr>
      <w:pStyle w:val="Header"/>
    </w:pPr>
    <w:r>
      <w:tab/>
    </w:r>
    <w:r>
      <w:tab/>
      <w:t xml:space="preserve">Annexe à la circulaire </w:t>
    </w:r>
    <w:r w:rsidR="004A38FD">
      <w:t xml:space="preserve">n° </w:t>
    </w:r>
    <w:r>
      <w:t>3441</w:t>
    </w:r>
  </w:p>
  <w:p w14:paraId="2A2433E1" w14:textId="77777777" w:rsidR="00E76D3A" w:rsidRDefault="00E76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7EA8"/>
    <w:multiLevelType w:val="hybridMultilevel"/>
    <w:tmpl w:val="D758DD0C"/>
    <w:lvl w:ilvl="0" w:tplc="AFFCE7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F7"/>
    <w:rsid w:val="00001672"/>
    <w:rsid w:val="000456FF"/>
    <w:rsid w:val="000548CF"/>
    <w:rsid w:val="00070C1E"/>
    <w:rsid w:val="00090DC7"/>
    <w:rsid w:val="00092E03"/>
    <w:rsid w:val="000E1683"/>
    <w:rsid w:val="000F0432"/>
    <w:rsid w:val="000F691C"/>
    <w:rsid w:val="001335F4"/>
    <w:rsid w:val="00154097"/>
    <w:rsid w:val="001D1256"/>
    <w:rsid w:val="00221C4E"/>
    <w:rsid w:val="00224BA7"/>
    <w:rsid w:val="00233583"/>
    <w:rsid w:val="00254740"/>
    <w:rsid w:val="002E6620"/>
    <w:rsid w:val="0031087E"/>
    <w:rsid w:val="003846B2"/>
    <w:rsid w:val="00392979"/>
    <w:rsid w:val="00397EB8"/>
    <w:rsid w:val="003A0A74"/>
    <w:rsid w:val="003D0D30"/>
    <w:rsid w:val="00415D1D"/>
    <w:rsid w:val="00433557"/>
    <w:rsid w:val="00443F11"/>
    <w:rsid w:val="004845EB"/>
    <w:rsid w:val="004A38FD"/>
    <w:rsid w:val="0054127E"/>
    <w:rsid w:val="00587893"/>
    <w:rsid w:val="005C2406"/>
    <w:rsid w:val="005E32BC"/>
    <w:rsid w:val="005F3617"/>
    <w:rsid w:val="006031D2"/>
    <w:rsid w:val="006C55D1"/>
    <w:rsid w:val="006E5A47"/>
    <w:rsid w:val="0070037F"/>
    <w:rsid w:val="00711801"/>
    <w:rsid w:val="007252A1"/>
    <w:rsid w:val="00752F07"/>
    <w:rsid w:val="00757581"/>
    <w:rsid w:val="007A1C55"/>
    <w:rsid w:val="007C7556"/>
    <w:rsid w:val="007E5427"/>
    <w:rsid w:val="00800E61"/>
    <w:rsid w:val="00827B37"/>
    <w:rsid w:val="008533C1"/>
    <w:rsid w:val="008743BD"/>
    <w:rsid w:val="008A48C0"/>
    <w:rsid w:val="008E059A"/>
    <w:rsid w:val="00955249"/>
    <w:rsid w:val="009B5546"/>
    <w:rsid w:val="009D1DA2"/>
    <w:rsid w:val="009D5D4C"/>
    <w:rsid w:val="009F326C"/>
    <w:rsid w:val="00A005E4"/>
    <w:rsid w:val="00A56E7F"/>
    <w:rsid w:val="00A670D2"/>
    <w:rsid w:val="00AA0A62"/>
    <w:rsid w:val="00AA53F7"/>
    <w:rsid w:val="00AB04DF"/>
    <w:rsid w:val="00AF601B"/>
    <w:rsid w:val="00B04CEB"/>
    <w:rsid w:val="00B2140A"/>
    <w:rsid w:val="00B37B6E"/>
    <w:rsid w:val="00B7214C"/>
    <w:rsid w:val="00B75378"/>
    <w:rsid w:val="00BA5C61"/>
    <w:rsid w:val="00C12442"/>
    <w:rsid w:val="00C57BD9"/>
    <w:rsid w:val="00C637D7"/>
    <w:rsid w:val="00C67928"/>
    <w:rsid w:val="00CA6CC3"/>
    <w:rsid w:val="00CF2527"/>
    <w:rsid w:val="00CF4A3C"/>
    <w:rsid w:val="00CF5C92"/>
    <w:rsid w:val="00D029B9"/>
    <w:rsid w:val="00D47E60"/>
    <w:rsid w:val="00D60690"/>
    <w:rsid w:val="00D85614"/>
    <w:rsid w:val="00D93880"/>
    <w:rsid w:val="00DB33A9"/>
    <w:rsid w:val="00DF29BC"/>
    <w:rsid w:val="00E24A20"/>
    <w:rsid w:val="00E35901"/>
    <w:rsid w:val="00E6453F"/>
    <w:rsid w:val="00E76D3A"/>
    <w:rsid w:val="00E96ED8"/>
    <w:rsid w:val="00ED2754"/>
    <w:rsid w:val="00F51DB9"/>
    <w:rsid w:val="00FB50F7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89E138"/>
  <w15:chartTrackingRefBased/>
  <w15:docId w15:val="{0A2C5652-5D56-41FB-AFF4-93D727C7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3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53F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AA53F7"/>
    <w:rPr>
      <w:rFonts w:ascii="Arial" w:eastAsia="Times New Roman" w:hAnsi="Arial" w:cs="Times New Roman"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AA53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5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3F7"/>
  </w:style>
  <w:style w:type="paragraph" w:styleId="ListParagraph">
    <w:name w:val="List Paragraph"/>
    <w:basedOn w:val="Normal"/>
    <w:uiPriority w:val="34"/>
    <w:qFormat/>
    <w:rsid w:val="005F3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5A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5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F2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6211-C950-4E11-9E90-5145C4E1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Brausch</dc:creator>
  <cp:keywords/>
  <dc:description/>
  <cp:lastModifiedBy>Clara Muller</cp:lastModifiedBy>
  <cp:revision>34</cp:revision>
  <cp:lastPrinted>2017-01-13T10:28:00Z</cp:lastPrinted>
  <dcterms:created xsi:type="dcterms:W3CDTF">2019-02-05T08:45:00Z</dcterms:created>
  <dcterms:modified xsi:type="dcterms:W3CDTF">2019-04-16T16:10:00Z</dcterms:modified>
</cp:coreProperties>
</file>