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F936B6" w14:textId="27892415" w:rsidR="00E94EA4" w:rsidRPr="00B170B7" w:rsidRDefault="00E94EA4" w:rsidP="00E94EA4">
      <w:pPr>
        <w:jc w:val="center"/>
        <w:rPr>
          <w:rFonts w:asciiTheme="majorHAnsi" w:hAnsiTheme="majorHAnsi" w:cstheme="majorHAnsi"/>
          <w:b/>
          <w:sz w:val="32"/>
          <w:szCs w:val="32"/>
          <w:u w:val="single"/>
          <w:lang w:val="fr-FR"/>
        </w:rPr>
      </w:pPr>
      <w:r w:rsidRPr="00B170B7">
        <w:rPr>
          <w:rFonts w:asciiTheme="majorHAnsi" w:hAnsiTheme="majorHAnsi" w:cstheme="majorHAnsi"/>
          <w:b/>
          <w:sz w:val="32"/>
          <w:szCs w:val="32"/>
          <w:u w:val="single"/>
          <w:lang w:val="fr-FR"/>
        </w:rPr>
        <w:t>MODULE :</w:t>
      </w:r>
    </w:p>
    <w:p w14:paraId="393A2F85" w14:textId="30D88E69" w:rsidR="00F07EB1" w:rsidRPr="00B170B7" w:rsidRDefault="00E94EA4" w:rsidP="00E94EA4">
      <w:pPr>
        <w:jc w:val="center"/>
        <w:rPr>
          <w:rFonts w:asciiTheme="majorHAnsi" w:hAnsiTheme="majorHAnsi" w:cstheme="majorHAnsi"/>
          <w:b/>
          <w:sz w:val="32"/>
          <w:szCs w:val="32"/>
          <w:u w:val="single"/>
          <w:lang w:val="fr-FR"/>
        </w:rPr>
      </w:pPr>
      <w:r w:rsidRPr="00B170B7">
        <w:rPr>
          <w:rFonts w:asciiTheme="majorHAnsi" w:hAnsiTheme="majorHAnsi" w:cstheme="majorHAnsi"/>
          <w:b/>
          <w:sz w:val="32"/>
          <w:szCs w:val="32"/>
          <w:u w:val="single"/>
          <w:lang w:val="fr-FR"/>
        </w:rPr>
        <w:t>Règlement sur les bâtisses, les voies publiques et les sites</w:t>
      </w:r>
    </w:p>
    <w:p w14:paraId="7EDC2709" w14:textId="77777777" w:rsidR="00E94EA4" w:rsidRPr="007E0EF8" w:rsidRDefault="00E94EA4" w:rsidP="00E94EA4">
      <w:pPr>
        <w:spacing w:after="0"/>
        <w:jc w:val="center"/>
        <w:rPr>
          <w:rFonts w:asciiTheme="majorHAnsi" w:hAnsiTheme="majorHAnsi" w:cstheme="majorHAnsi"/>
          <w:b/>
          <w:sz w:val="28"/>
          <w:u w:val="single"/>
          <w:lang w:val="fr-FR"/>
        </w:rPr>
      </w:pPr>
    </w:p>
    <w:p w14:paraId="50692EEA" w14:textId="3B1793B9" w:rsidR="0031291A" w:rsidRPr="009102BA" w:rsidRDefault="006027E9" w:rsidP="00E94EA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336"/>
        </w:tabs>
        <w:jc w:val="both"/>
        <w:rPr>
          <w:rFonts w:asciiTheme="majorHAnsi" w:hAnsiTheme="majorHAnsi" w:cstheme="majorHAnsi"/>
          <w:lang w:val="fr-FR"/>
        </w:rPr>
      </w:pPr>
      <w:r w:rsidRPr="009102BA">
        <w:rPr>
          <w:rFonts w:asciiTheme="majorHAnsi" w:hAnsiTheme="majorHAnsi" w:cstheme="majorHAnsi"/>
          <w:lang w:val="fr-FR"/>
        </w:rPr>
        <w:t xml:space="preserve">Il est proposé de </w:t>
      </w:r>
      <w:r w:rsidR="00A86F93">
        <w:rPr>
          <w:rFonts w:asciiTheme="majorHAnsi" w:hAnsiTheme="majorHAnsi" w:cstheme="majorHAnsi"/>
          <w:lang w:val="fr-FR"/>
        </w:rPr>
        <w:t>modifier les dispositions existantes comme suit, étant précisé que</w:t>
      </w:r>
      <w:r w:rsidR="009102BA">
        <w:rPr>
          <w:rFonts w:asciiTheme="majorHAnsi" w:hAnsiTheme="majorHAnsi" w:cstheme="majorHAnsi"/>
          <w:lang w:val="fr-FR"/>
        </w:rPr>
        <w:t xml:space="preserve"> l</w:t>
      </w:r>
      <w:r w:rsidR="008D3A3E" w:rsidRPr="009102BA">
        <w:rPr>
          <w:rFonts w:asciiTheme="majorHAnsi" w:hAnsiTheme="majorHAnsi" w:cstheme="majorHAnsi"/>
          <w:lang w:val="fr-FR"/>
        </w:rPr>
        <w:t xml:space="preserve">a rédaction </w:t>
      </w:r>
      <w:r w:rsidR="009102BA" w:rsidRPr="009102BA">
        <w:rPr>
          <w:rFonts w:asciiTheme="majorHAnsi" w:hAnsiTheme="majorHAnsi" w:cstheme="majorHAnsi"/>
          <w:lang w:val="fr-FR"/>
        </w:rPr>
        <w:t>du présent module</w:t>
      </w:r>
      <w:r w:rsidR="008D3A3E" w:rsidRPr="009102BA">
        <w:rPr>
          <w:rFonts w:asciiTheme="majorHAnsi" w:hAnsiTheme="majorHAnsi" w:cstheme="majorHAnsi"/>
          <w:lang w:val="fr-FR"/>
        </w:rPr>
        <w:t xml:space="preserve"> </w:t>
      </w:r>
      <w:r w:rsidR="00A86F93">
        <w:rPr>
          <w:rFonts w:asciiTheme="majorHAnsi" w:hAnsiTheme="majorHAnsi" w:cstheme="majorHAnsi"/>
          <w:lang w:val="fr-FR"/>
        </w:rPr>
        <w:t xml:space="preserve">se base sur le </w:t>
      </w:r>
      <w:r w:rsidR="008D3A3E" w:rsidRPr="009102BA">
        <w:rPr>
          <w:rFonts w:asciiTheme="majorHAnsi" w:hAnsiTheme="majorHAnsi" w:cstheme="majorHAnsi"/>
          <w:lang w:val="fr-FR"/>
        </w:rPr>
        <w:t xml:space="preserve">RBVS-type édité par le ministère de l’Intérieur. </w:t>
      </w:r>
    </w:p>
    <w:p w14:paraId="233EBD56" w14:textId="63D34790" w:rsidR="0031291A" w:rsidRDefault="0031291A" w:rsidP="00AC045E">
      <w:pPr>
        <w:tabs>
          <w:tab w:val="left" w:pos="3336"/>
        </w:tabs>
        <w:jc w:val="both"/>
        <w:rPr>
          <w:rFonts w:asciiTheme="majorHAnsi" w:hAnsiTheme="majorHAnsi" w:cstheme="majorHAnsi"/>
          <w:b/>
          <w:i/>
          <w:u w:val="single"/>
          <w:lang w:val="fr-FR"/>
        </w:rPr>
      </w:pPr>
    </w:p>
    <w:p w14:paraId="3B6D43B8" w14:textId="5DDBE3FD" w:rsidR="007F0EE3" w:rsidRPr="00E94EA4" w:rsidRDefault="007F0EE3" w:rsidP="00E94EA4">
      <w:pPr>
        <w:pStyle w:val="ListParagraph"/>
        <w:numPr>
          <w:ilvl w:val="0"/>
          <w:numId w:val="18"/>
        </w:numPr>
        <w:tabs>
          <w:tab w:val="left" w:pos="3336"/>
        </w:tabs>
        <w:jc w:val="both"/>
        <w:rPr>
          <w:rFonts w:asciiTheme="majorHAnsi" w:hAnsiTheme="majorHAnsi" w:cstheme="majorHAnsi"/>
          <w:b/>
          <w:u w:val="single"/>
          <w:lang w:val="fr-FR"/>
        </w:rPr>
      </w:pPr>
      <w:r w:rsidRPr="00E94EA4">
        <w:rPr>
          <w:rFonts w:asciiTheme="majorHAnsi" w:hAnsiTheme="majorHAnsi" w:cstheme="majorHAnsi"/>
          <w:b/>
          <w:u w:val="single"/>
          <w:lang w:val="fr-FR"/>
        </w:rPr>
        <w:t>Annexe</w:t>
      </w:r>
      <w:r w:rsidR="008C37D7" w:rsidRPr="00E94EA4">
        <w:rPr>
          <w:rFonts w:asciiTheme="majorHAnsi" w:hAnsiTheme="majorHAnsi" w:cstheme="majorHAnsi"/>
          <w:b/>
          <w:u w:val="single"/>
          <w:lang w:val="fr-FR"/>
        </w:rPr>
        <w:t> : Définition 14</w:t>
      </w:r>
    </w:p>
    <w:p w14:paraId="57C6477C" w14:textId="52F0E9C6" w:rsidR="008C37D7" w:rsidRPr="009102BA" w:rsidRDefault="009102BA" w:rsidP="00AC045E">
      <w:pPr>
        <w:tabs>
          <w:tab w:val="left" w:pos="3336"/>
        </w:tabs>
        <w:jc w:val="both"/>
        <w:rPr>
          <w:rFonts w:asciiTheme="majorHAnsi" w:hAnsiTheme="majorHAnsi" w:cstheme="majorHAnsi"/>
          <w:lang w:val="fr-FR"/>
        </w:rPr>
      </w:pPr>
      <w:r w:rsidRPr="009102BA">
        <w:rPr>
          <w:rFonts w:asciiTheme="majorHAnsi" w:hAnsiTheme="majorHAnsi" w:cstheme="majorHAnsi"/>
          <w:lang w:val="fr-FR"/>
        </w:rPr>
        <w:t>Une nouvelle définition 14 est insérée dans l’annexe</w:t>
      </w:r>
      <w:r w:rsidR="008C37D7" w:rsidRPr="009102BA">
        <w:rPr>
          <w:rFonts w:asciiTheme="majorHAnsi" w:hAnsiTheme="majorHAnsi" w:cstheme="majorHAnsi"/>
          <w:lang w:val="fr-FR"/>
        </w:rPr>
        <w:t xml:space="preserve">. Les définitions subséquentes doivent être renumérotées. </w:t>
      </w:r>
    </w:p>
    <w:p w14:paraId="2708BDBA" w14:textId="5474D0C2" w:rsidR="008C37D7" w:rsidRPr="009102BA" w:rsidRDefault="009102BA" w:rsidP="008C37D7">
      <w:pPr>
        <w:jc w:val="both"/>
        <w:rPr>
          <w:rFonts w:asciiTheme="majorHAnsi" w:hAnsiTheme="majorHAnsi" w:cstheme="majorHAnsi"/>
          <w:i/>
          <w:lang w:val="fr-FR"/>
        </w:rPr>
      </w:pPr>
      <w:r>
        <w:rPr>
          <w:rFonts w:asciiTheme="majorHAnsi" w:hAnsiTheme="majorHAnsi" w:cstheme="majorHAnsi"/>
          <w:i/>
          <w:lang w:val="fr-FR"/>
        </w:rPr>
        <w:t>« </w:t>
      </w:r>
      <w:r w:rsidR="008C37D7" w:rsidRPr="009102BA">
        <w:rPr>
          <w:rFonts w:asciiTheme="majorHAnsi" w:hAnsiTheme="majorHAnsi" w:cstheme="majorHAnsi"/>
          <w:i/>
          <w:lang w:val="fr-FR"/>
        </w:rPr>
        <w:t xml:space="preserve">Une habitation légère est une construction amovible ou démontable, réalisée ni en maçonnerie ni en béton, constituant une seule unité de logement et présentant une surface </w:t>
      </w:r>
      <w:r w:rsidR="000D57FB" w:rsidRPr="009102BA">
        <w:rPr>
          <w:rFonts w:asciiTheme="majorHAnsi" w:hAnsiTheme="majorHAnsi" w:cstheme="majorHAnsi"/>
          <w:i/>
          <w:lang w:val="fr-FR"/>
        </w:rPr>
        <w:t>construite brute</w:t>
      </w:r>
      <w:r w:rsidR="008C37D7" w:rsidRPr="009102BA">
        <w:rPr>
          <w:rFonts w:asciiTheme="majorHAnsi" w:hAnsiTheme="majorHAnsi" w:cstheme="majorHAnsi"/>
          <w:i/>
          <w:lang w:val="fr-FR"/>
        </w:rPr>
        <w:t xml:space="preserve"> inférieure à 50 mètres carrés.</w:t>
      </w:r>
      <w:r>
        <w:rPr>
          <w:rFonts w:asciiTheme="majorHAnsi" w:hAnsiTheme="majorHAnsi" w:cstheme="majorHAnsi"/>
          <w:i/>
          <w:lang w:val="fr-FR"/>
        </w:rPr>
        <w:t> »</w:t>
      </w:r>
      <w:r w:rsidR="002225ED">
        <w:rPr>
          <w:rFonts w:asciiTheme="majorHAnsi" w:hAnsiTheme="majorHAnsi" w:cstheme="majorHAnsi"/>
          <w:i/>
          <w:lang w:val="fr-FR"/>
        </w:rPr>
        <w:t>.</w:t>
      </w:r>
    </w:p>
    <w:p w14:paraId="3FBCAE22" w14:textId="77777777" w:rsidR="007F0EE3" w:rsidRPr="007F0EE3" w:rsidRDefault="007F0EE3" w:rsidP="00AC045E">
      <w:pPr>
        <w:tabs>
          <w:tab w:val="left" w:pos="3336"/>
        </w:tabs>
        <w:jc w:val="both"/>
        <w:rPr>
          <w:rFonts w:asciiTheme="majorHAnsi" w:hAnsiTheme="majorHAnsi" w:cstheme="majorHAnsi"/>
          <w:u w:val="single"/>
          <w:lang w:val="fr-FR"/>
        </w:rPr>
      </w:pPr>
    </w:p>
    <w:p w14:paraId="68945996" w14:textId="238E2519" w:rsidR="00BE5D5D" w:rsidRPr="00E94EA4" w:rsidRDefault="00BE5D5D" w:rsidP="00E94EA4">
      <w:pPr>
        <w:pStyle w:val="ListParagraph"/>
        <w:numPr>
          <w:ilvl w:val="0"/>
          <w:numId w:val="18"/>
        </w:numPr>
        <w:tabs>
          <w:tab w:val="left" w:pos="3336"/>
        </w:tabs>
        <w:jc w:val="both"/>
        <w:rPr>
          <w:rFonts w:asciiTheme="majorHAnsi" w:hAnsiTheme="majorHAnsi" w:cstheme="majorHAnsi"/>
          <w:b/>
          <w:u w:val="single"/>
          <w:lang w:val="fr-FR"/>
        </w:rPr>
      </w:pPr>
      <w:r w:rsidRPr="00E94EA4">
        <w:rPr>
          <w:rFonts w:asciiTheme="majorHAnsi" w:hAnsiTheme="majorHAnsi" w:cstheme="majorHAnsi"/>
          <w:b/>
          <w:u w:val="single"/>
          <w:lang w:val="fr-FR"/>
        </w:rPr>
        <w:t>Art</w:t>
      </w:r>
      <w:r w:rsidR="00C431A5">
        <w:rPr>
          <w:rFonts w:asciiTheme="majorHAnsi" w:hAnsiTheme="majorHAnsi" w:cstheme="majorHAnsi"/>
          <w:b/>
          <w:u w:val="single"/>
          <w:lang w:val="fr-FR"/>
        </w:rPr>
        <w:t>.</w:t>
      </w:r>
      <w:r w:rsidRPr="00E94EA4">
        <w:rPr>
          <w:rFonts w:asciiTheme="majorHAnsi" w:hAnsiTheme="majorHAnsi" w:cstheme="majorHAnsi"/>
          <w:b/>
          <w:u w:val="single"/>
          <w:lang w:val="fr-FR"/>
        </w:rPr>
        <w:t xml:space="preserve"> 32</w:t>
      </w:r>
      <w:r w:rsidR="0088616A" w:rsidRPr="00E94EA4">
        <w:rPr>
          <w:rFonts w:asciiTheme="majorHAnsi" w:hAnsiTheme="majorHAnsi" w:cstheme="majorHAnsi"/>
          <w:b/>
          <w:u w:val="single"/>
          <w:lang w:val="fr-FR"/>
        </w:rPr>
        <w:t xml:space="preserve"> – P</w:t>
      </w:r>
      <w:r w:rsidR="00CE2B22" w:rsidRPr="00E94EA4">
        <w:rPr>
          <w:rFonts w:asciiTheme="majorHAnsi" w:hAnsiTheme="majorHAnsi" w:cstheme="majorHAnsi"/>
          <w:b/>
          <w:u w:val="single"/>
          <w:lang w:val="fr-FR"/>
        </w:rPr>
        <w:t>ièces destinées au séjour prolongé de personnes</w:t>
      </w:r>
    </w:p>
    <w:p w14:paraId="67E1F2D9" w14:textId="3DF62AF4" w:rsidR="00CE2B22" w:rsidRPr="00C04F4F" w:rsidRDefault="00C04F4F" w:rsidP="00AC045E">
      <w:pPr>
        <w:tabs>
          <w:tab w:val="left" w:pos="3336"/>
        </w:tabs>
        <w:jc w:val="both"/>
        <w:rPr>
          <w:rFonts w:asciiTheme="majorHAnsi" w:hAnsiTheme="majorHAnsi" w:cstheme="majorHAnsi"/>
          <w:i/>
          <w:lang w:val="fr-FR"/>
        </w:rPr>
      </w:pPr>
      <w:r w:rsidRPr="009102BA">
        <w:rPr>
          <w:rFonts w:asciiTheme="majorHAnsi" w:hAnsiTheme="majorHAnsi" w:cstheme="majorHAnsi"/>
          <w:lang w:val="fr-FR"/>
        </w:rPr>
        <w:t xml:space="preserve">Cette disposition est </w:t>
      </w:r>
      <w:r w:rsidR="006E44A6" w:rsidRPr="009102BA">
        <w:rPr>
          <w:rFonts w:asciiTheme="majorHAnsi" w:hAnsiTheme="majorHAnsi" w:cstheme="majorHAnsi"/>
          <w:lang w:val="fr-FR"/>
        </w:rPr>
        <w:t xml:space="preserve">complétée par des nouveaux alinéas 4 </w:t>
      </w:r>
      <w:r w:rsidR="00B66378">
        <w:rPr>
          <w:rFonts w:asciiTheme="majorHAnsi" w:hAnsiTheme="majorHAnsi" w:cstheme="majorHAnsi"/>
          <w:lang w:val="fr-FR"/>
        </w:rPr>
        <w:t>à</w:t>
      </w:r>
      <w:r w:rsidR="006E44A6" w:rsidRPr="009102BA">
        <w:rPr>
          <w:rFonts w:asciiTheme="majorHAnsi" w:hAnsiTheme="majorHAnsi" w:cstheme="majorHAnsi"/>
          <w:lang w:val="fr-FR"/>
        </w:rPr>
        <w:t xml:space="preserve"> </w:t>
      </w:r>
      <w:r w:rsidR="00B66378">
        <w:rPr>
          <w:rFonts w:asciiTheme="majorHAnsi" w:hAnsiTheme="majorHAnsi" w:cstheme="majorHAnsi"/>
          <w:lang w:val="fr-FR"/>
        </w:rPr>
        <w:t>6</w:t>
      </w:r>
      <w:r w:rsidR="006E44A6">
        <w:rPr>
          <w:rFonts w:asciiTheme="majorHAnsi" w:hAnsiTheme="majorHAnsi" w:cstheme="majorHAnsi"/>
          <w:i/>
          <w:lang w:val="fr-FR"/>
        </w:rPr>
        <w:t xml:space="preserve">. </w:t>
      </w:r>
    </w:p>
    <w:p w14:paraId="2FD9796F" w14:textId="77777777" w:rsidR="00ED2398" w:rsidRDefault="009102BA" w:rsidP="00AC045E">
      <w:pPr>
        <w:tabs>
          <w:tab w:val="left" w:pos="3336"/>
        </w:tabs>
        <w:jc w:val="both"/>
        <w:rPr>
          <w:rFonts w:asciiTheme="majorHAnsi" w:hAnsiTheme="majorHAnsi" w:cstheme="majorHAnsi"/>
          <w:i/>
          <w:lang w:val="fr-FR"/>
        </w:rPr>
      </w:pPr>
      <w:r>
        <w:rPr>
          <w:rFonts w:asciiTheme="majorHAnsi" w:hAnsiTheme="majorHAnsi" w:cstheme="majorHAnsi"/>
          <w:i/>
          <w:lang w:val="fr-FR"/>
        </w:rPr>
        <w:t>« </w:t>
      </w:r>
      <w:r w:rsidR="006F5692" w:rsidRPr="009102BA">
        <w:rPr>
          <w:rFonts w:asciiTheme="majorHAnsi" w:hAnsiTheme="majorHAnsi" w:cstheme="majorHAnsi"/>
          <w:i/>
          <w:lang w:val="fr-FR"/>
        </w:rPr>
        <w:t>P</w:t>
      </w:r>
      <w:r w:rsidR="00CE2B22" w:rsidRPr="009102BA">
        <w:rPr>
          <w:rFonts w:asciiTheme="majorHAnsi" w:hAnsiTheme="majorHAnsi" w:cstheme="majorHAnsi"/>
          <w:i/>
          <w:lang w:val="fr-FR"/>
        </w:rPr>
        <w:t>ar dérogation à l’alinéa 1</w:t>
      </w:r>
      <w:r w:rsidR="00CE2B22" w:rsidRPr="009102BA">
        <w:rPr>
          <w:rFonts w:asciiTheme="majorHAnsi" w:hAnsiTheme="majorHAnsi" w:cstheme="majorHAnsi"/>
          <w:i/>
          <w:vertAlign w:val="superscript"/>
          <w:lang w:val="fr-FR"/>
        </w:rPr>
        <w:t>er</w:t>
      </w:r>
      <w:r w:rsidR="00CE2B22" w:rsidRPr="009102BA">
        <w:rPr>
          <w:rFonts w:asciiTheme="majorHAnsi" w:hAnsiTheme="majorHAnsi" w:cstheme="majorHAnsi"/>
          <w:i/>
          <w:lang w:val="fr-FR"/>
        </w:rPr>
        <w:t>, tiret 1</w:t>
      </w:r>
      <w:r w:rsidR="00CE2B22" w:rsidRPr="009102BA">
        <w:rPr>
          <w:rFonts w:asciiTheme="majorHAnsi" w:hAnsiTheme="majorHAnsi" w:cstheme="majorHAnsi"/>
          <w:i/>
          <w:vertAlign w:val="superscript"/>
          <w:lang w:val="fr-FR"/>
        </w:rPr>
        <w:t>er</w:t>
      </w:r>
      <w:r w:rsidR="00CE2B22" w:rsidRPr="009102BA">
        <w:rPr>
          <w:rFonts w:asciiTheme="majorHAnsi" w:hAnsiTheme="majorHAnsi" w:cstheme="majorHAnsi"/>
          <w:i/>
          <w:lang w:val="fr-FR"/>
        </w:rPr>
        <w:t>, la hauteur libre sou</w:t>
      </w:r>
      <w:r w:rsidR="00C04F4F" w:rsidRPr="009102BA">
        <w:rPr>
          <w:rFonts w:asciiTheme="majorHAnsi" w:hAnsiTheme="majorHAnsi" w:cstheme="majorHAnsi"/>
          <w:i/>
          <w:lang w:val="fr-FR"/>
        </w:rPr>
        <w:t xml:space="preserve">s plafond </w:t>
      </w:r>
      <w:r w:rsidR="006F5692" w:rsidRPr="009102BA">
        <w:rPr>
          <w:rFonts w:asciiTheme="majorHAnsi" w:hAnsiTheme="majorHAnsi" w:cstheme="majorHAnsi"/>
          <w:i/>
          <w:lang w:val="fr-FR"/>
        </w:rPr>
        <w:t xml:space="preserve">pour les habitations légères </w:t>
      </w:r>
      <w:r w:rsidR="00C04F4F" w:rsidRPr="009102BA">
        <w:rPr>
          <w:rFonts w:asciiTheme="majorHAnsi" w:hAnsiTheme="majorHAnsi" w:cstheme="majorHAnsi"/>
          <w:i/>
          <w:lang w:val="fr-FR"/>
        </w:rPr>
        <w:t>est d’au moins 2,30</w:t>
      </w:r>
      <w:r w:rsidR="006F5692" w:rsidRPr="009102BA">
        <w:rPr>
          <w:rFonts w:asciiTheme="majorHAnsi" w:hAnsiTheme="majorHAnsi" w:cstheme="majorHAnsi"/>
          <w:i/>
          <w:lang w:val="fr-FR"/>
        </w:rPr>
        <w:t xml:space="preserve"> </w:t>
      </w:r>
      <w:r w:rsidR="00C04F4F" w:rsidRPr="009102BA">
        <w:rPr>
          <w:rFonts w:asciiTheme="majorHAnsi" w:hAnsiTheme="majorHAnsi" w:cstheme="majorHAnsi"/>
          <w:i/>
          <w:lang w:val="fr-FR"/>
        </w:rPr>
        <w:t xml:space="preserve">m. </w:t>
      </w:r>
    </w:p>
    <w:p w14:paraId="460B753B" w14:textId="0594B368" w:rsidR="00ED2398" w:rsidRPr="009102BA" w:rsidRDefault="00C04F4F" w:rsidP="00AC045E">
      <w:pPr>
        <w:tabs>
          <w:tab w:val="left" w:pos="3336"/>
        </w:tabs>
        <w:jc w:val="both"/>
        <w:rPr>
          <w:rFonts w:asciiTheme="majorHAnsi" w:hAnsiTheme="majorHAnsi" w:cstheme="majorHAnsi"/>
          <w:i/>
          <w:lang w:val="fr-FR"/>
        </w:rPr>
      </w:pPr>
      <w:r w:rsidRPr="009102BA">
        <w:rPr>
          <w:rFonts w:asciiTheme="majorHAnsi" w:hAnsiTheme="majorHAnsi" w:cstheme="majorHAnsi"/>
          <w:i/>
          <w:lang w:val="fr-FR"/>
        </w:rPr>
        <w:t xml:space="preserve">Sur une surface </w:t>
      </w:r>
      <w:r w:rsidR="00140059" w:rsidRPr="009102BA">
        <w:rPr>
          <w:rFonts w:asciiTheme="majorHAnsi" w:hAnsiTheme="majorHAnsi" w:cstheme="majorHAnsi"/>
          <w:i/>
          <w:lang w:val="fr-FR"/>
        </w:rPr>
        <w:t xml:space="preserve">totale </w:t>
      </w:r>
      <w:r w:rsidRPr="009102BA">
        <w:rPr>
          <w:rFonts w:asciiTheme="majorHAnsi" w:hAnsiTheme="majorHAnsi" w:cstheme="majorHAnsi"/>
          <w:i/>
          <w:lang w:val="fr-FR"/>
        </w:rPr>
        <w:t>de maximum 8 m</w:t>
      </w:r>
      <w:r w:rsidRPr="009102BA">
        <w:rPr>
          <w:rFonts w:asciiTheme="majorHAnsi" w:hAnsiTheme="majorHAnsi" w:cstheme="majorHAnsi"/>
          <w:i/>
          <w:vertAlign w:val="superscript"/>
          <w:lang w:val="fr-FR"/>
        </w:rPr>
        <w:t>2</w:t>
      </w:r>
      <w:r w:rsidRPr="009102BA">
        <w:rPr>
          <w:rFonts w:asciiTheme="majorHAnsi" w:hAnsiTheme="majorHAnsi" w:cstheme="majorHAnsi"/>
          <w:i/>
          <w:lang w:val="fr-FR"/>
        </w:rPr>
        <w:t>, une haut</w:t>
      </w:r>
      <w:r w:rsidR="00140059" w:rsidRPr="009102BA">
        <w:rPr>
          <w:rFonts w:asciiTheme="majorHAnsi" w:hAnsiTheme="majorHAnsi" w:cstheme="majorHAnsi"/>
          <w:i/>
          <w:lang w:val="fr-FR"/>
        </w:rPr>
        <w:t>eur minimale de 2 m est admise, sans préjudice des dispositions de l’article 34.</w:t>
      </w:r>
      <w:r w:rsidR="00ED2398">
        <w:rPr>
          <w:rFonts w:asciiTheme="majorHAnsi" w:hAnsiTheme="majorHAnsi" w:cstheme="majorHAnsi"/>
          <w:i/>
          <w:lang w:val="fr-FR"/>
        </w:rPr>
        <w:t xml:space="preserve"> Sauf pour les espaces dédiés à la circulation, il peut être dérogé à cette hauteur à condition que la hauteur minimale ne soit pas inférieure à 1,70m</w:t>
      </w:r>
      <w:r w:rsidR="005112C1">
        <w:rPr>
          <w:rFonts w:asciiTheme="majorHAnsi" w:hAnsiTheme="majorHAnsi" w:cstheme="majorHAnsi"/>
          <w:i/>
          <w:lang w:val="fr-FR"/>
        </w:rPr>
        <w:t>.</w:t>
      </w:r>
    </w:p>
    <w:p w14:paraId="20515565" w14:textId="2EEA7802" w:rsidR="006E44A6" w:rsidRDefault="006E44A6" w:rsidP="00AC045E">
      <w:pPr>
        <w:tabs>
          <w:tab w:val="left" w:pos="3336"/>
        </w:tabs>
        <w:jc w:val="both"/>
        <w:rPr>
          <w:rFonts w:asciiTheme="majorHAnsi" w:hAnsiTheme="majorHAnsi" w:cstheme="majorHAnsi"/>
          <w:i/>
          <w:lang w:val="fr-FR"/>
        </w:rPr>
      </w:pPr>
      <w:r w:rsidRPr="009102BA">
        <w:rPr>
          <w:rFonts w:asciiTheme="majorHAnsi" w:hAnsiTheme="majorHAnsi" w:cstheme="majorHAnsi"/>
          <w:i/>
          <w:lang w:val="fr-FR"/>
        </w:rPr>
        <w:t>L’alinéa 3 ne s’applique pas en</w:t>
      </w:r>
      <w:r w:rsidR="009102BA">
        <w:rPr>
          <w:rFonts w:asciiTheme="majorHAnsi" w:hAnsiTheme="majorHAnsi" w:cstheme="majorHAnsi"/>
          <w:i/>
          <w:lang w:val="fr-FR"/>
        </w:rPr>
        <w:t xml:space="preserve"> matière d’habitations légères. »</w:t>
      </w:r>
      <w:r w:rsidR="002225ED">
        <w:rPr>
          <w:rFonts w:asciiTheme="majorHAnsi" w:hAnsiTheme="majorHAnsi" w:cstheme="majorHAnsi"/>
          <w:i/>
          <w:lang w:val="fr-FR"/>
        </w:rPr>
        <w:t>.</w:t>
      </w:r>
    </w:p>
    <w:p w14:paraId="787B0CF4" w14:textId="77777777" w:rsidR="009E171F" w:rsidRPr="009102BA" w:rsidRDefault="009E171F" w:rsidP="00AC045E">
      <w:pPr>
        <w:tabs>
          <w:tab w:val="left" w:pos="3336"/>
        </w:tabs>
        <w:jc w:val="both"/>
        <w:rPr>
          <w:rFonts w:asciiTheme="majorHAnsi" w:hAnsiTheme="majorHAnsi" w:cstheme="majorHAnsi"/>
          <w:i/>
          <w:lang w:val="fr-FR"/>
        </w:rPr>
      </w:pPr>
    </w:p>
    <w:p w14:paraId="40FFF7BF" w14:textId="15A88CBC" w:rsidR="00BE5D5D" w:rsidRPr="00E94EA4" w:rsidRDefault="00BE5D5D" w:rsidP="00E94EA4">
      <w:pPr>
        <w:pStyle w:val="ListParagraph"/>
        <w:numPr>
          <w:ilvl w:val="0"/>
          <w:numId w:val="18"/>
        </w:numPr>
        <w:tabs>
          <w:tab w:val="left" w:pos="3336"/>
        </w:tabs>
        <w:jc w:val="both"/>
        <w:rPr>
          <w:rFonts w:asciiTheme="majorHAnsi" w:hAnsiTheme="majorHAnsi" w:cstheme="majorHAnsi"/>
          <w:b/>
          <w:u w:val="single"/>
          <w:lang w:val="fr-FR"/>
        </w:rPr>
      </w:pPr>
      <w:r w:rsidRPr="00E94EA4">
        <w:rPr>
          <w:rFonts w:asciiTheme="majorHAnsi" w:hAnsiTheme="majorHAnsi" w:cstheme="majorHAnsi"/>
          <w:b/>
          <w:u w:val="single"/>
          <w:lang w:val="fr-FR"/>
        </w:rPr>
        <w:t>Art</w:t>
      </w:r>
      <w:r w:rsidR="00C431A5">
        <w:rPr>
          <w:rFonts w:asciiTheme="majorHAnsi" w:hAnsiTheme="majorHAnsi" w:cstheme="majorHAnsi"/>
          <w:b/>
          <w:u w:val="single"/>
          <w:lang w:val="fr-FR"/>
        </w:rPr>
        <w:t>.</w:t>
      </w:r>
      <w:r w:rsidRPr="00E94EA4">
        <w:rPr>
          <w:rFonts w:asciiTheme="majorHAnsi" w:hAnsiTheme="majorHAnsi" w:cstheme="majorHAnsi"/>
          <w:b/>
          <w:u w:val="single"/>
          <w:lang w:val="fr-FR"/>
        </w:rPr>
        <w:t xml:space="preserve"> 34</w:t>
      </w:r>
      <w:r w:rsidR="002053BE" w:rsidRPr="00E94EA4">
        <w:rPr>
          <w:rFonts w:asciiTheme="majorHAnsi" w:hAnsiTheme="majorHAnsi" w:cstheme="majorHAnsi"/>
          <w:b/>
          <w:u w:val="single"/>
          <w:lang w:val="fr-FR"/>
        </w:rPr>
        <w:t xml:space="preserve"> –</w:t>
      </w:r>
      <w:r w:rsidR="0088616A" w:rsidRPr="00E94EA4">
        <w:rPr>
          <w:rFonts w:asciiTheme="majorHAnsi" w:hAnsiTheme="majorHAnsi" w:cstheme="majorHAnsi"/>
          <w:b/>
          <w:u w:val="single"/>
          <w:lang w:val="fr-FR"/>
        </w:rPr>
        <w:t xml:space="preserve"> M</w:t>
      </w:r>
      <w:r w:rsidR="002053BE" w:rsidRPr="00E94EA4">
        <w:rPr>
          <w:rFonts w:asciiTheme="majorHAnsi" w:hAnsiTheme="majorHAnsi" w:cstheme="majorHAnsi"/>
          <w:b/>
          <w:u w:val="single"/>
          <w:lang w:val="fr-FR"/>
        </w:rPr>
        <w:t>ezzanine et combles</w:t>
      </w:r>
    </w:p>
    <w:p w14:paraId="1AD0A796" w14:textId="7BB75604" w:rsidR="0088616A" w:rsidRPr="009102BA" w:rsidRDefault="0088616A" w:rsidP="0088616A">
      <w:pPr>
        <w:tabs>
          <w:tab w:val="left" w:pos="3336"/>
        </w:tabs>
        <w:jc w:val="both"/>
        <w:rPr>
          <w:rFonts w:asciiTheme="majorHAnsi" w:hAnsiTheme="majorHAnsi" w:cstheme="majorHAnsi"/>
          <w:lang w:val="fr-FR"/>
        </w:rPr>
      </w:pPr>
      <w:r w:rsidRPr="009102BA">
        <w:rPr>
          <w:rFonts w:asciiTheme="majorHAnsi" w:hAnsiTheme="majorHAnsi" w:cstheme="majorHAnsi"/>
          <w:lang w:val="fr-FR"/>
        </w:rPr>
        <w:t xml:space="preserve">Cette disposition est complétée par un nouvel alinéa 3. </w:t>
      </w:r>
    </w:p>
    <w:p w14:paraId="0E22E1F0" w14:textId="10F08AE5" w:rsidR="0088616A" w:rsidRPr="009102BA" w:rsidRDefault="009102BA" w:rsidP="00AC045E">
      <w:pPr>
        <w:tabs>
          <w:tab w:val="left" w:pos="3336"/>
        </w:tabs>
        <w:jc w:val="both"/>
        <w:rPr>
          <w:rFonts w:asciiTheme="majorHAnsi" w:hAnsiTheme="majorHAnsi" w:cstheme="majorHAnsi"/>
          <w:i/>
          <w:lang w:val="fr-FR"/>
        </w:rPr>
      </w:pPr>
      <w:r>
        <w:rPr>
          <w:rFonts w:asciiTheme="majorHAnsi" w:hAnsiTheme="majorHAnsi" w:cstheme="majorHAnsi"/>
          <w:i/>
          <w:lang w:val="fr-FR"/>
        </w:rPr>
        <w:t>« </w:t>
      </w:r>
      <w:r w:rsidR="0088616A" w:rsidRPr="009102BA">
        <w:rPr>
          <w:rFonts w:asciiTheme="majorHAnsi" w:hAnsiTheme="majorHAnsi" w:cstheme="majorHAnsi"/>
          <w:i/>
          <w:lang w:val="fr-FR"/>
        </w:rPr>
        <w:t xml:space="preserve">Pour les habitations légères, la hauteur libre sous plafond admise pour les mezzanines est de 2 m </w:t>
      </w:r>
      <w:r w:rsidR="004914A7">
        <w:rPr>
          <w:rFonts w:asciiTheme="majorHAnsi" w:hAnsiTheme="majorHAnsi" w:cstheme="majorHAnsi"/>
          <w:i/>
          <w:lang w:val="fr-FR"/>
        </w:rPr>
        <w:t xml:space="preserve">au moins </w:t>
      </w:r>
      <w:r w:rsidR="0088616A" w:rsidRPr="009102BA">
        <w:rPr>
          <w:rFonts w:asciiTheme="majorHAnsi" w:hAnsiTheme="majorHAnsi" w:cstheme="majorHAnsi"/>
          <w:i/>
          <w:lang w:val="fr-FR"/>
        </w:rPr>
        <w:t xml:space="preserve">et de 1 m </w:t>
      </w:r>
      <w:r w:rsidR="004914A7">
        <w:rPr>
          <w:rFonts w:asciiTheme="majorHAnsi" w:hAnsiTheme="majorHAnsi" w:cstheme="majorHAnsi"/>
          <w:i/>
          <w:lang w:val="fr-FR"/>
        </w:rPr>
        <w:t xml:space="preserve">au moins </w:t>
      </w:r>
      <w:r w:rsidR="0088616A" w:rsidRPr="009102BA">
        <w:rPr>
          <w:rFonts w:asciiTheme="majorHAnsi" w:hAnsiTheme="majorHAnsi" w:cstheme="majorHAnsi"/>
          <w:i/>
          <w:lang w:val="fr-FR"/>
        </w:rPr>
        <w:t>pour les niches de sommeil.</w:t>
      </w:r>
      <w:r>
        <w:rPr>
          <w:rFonts w:asciiTheme="majorHAnsi" w:hAnsiTheme="majorHAnsi" w:cstheme="majorHAnsi"/>
          <w:i/>
          <w:lang w:val="fr-FR"/>
        </w:rPr>
        <w:t> »</w:t>
      </w:r>
      <w:r w:rsidR="002225ED">
        <w:rPr>
          <w:rFonts w:asciiTheme="majorHAnsi" w:hAnsiTheme="majorHAnsi" w:cstheme="majorHAnsi"/>
          <w:i/>
          <w:lang w:val="fr-FR"/>
        </w:rPr>
        <w:t>.</w:t>
      </w:r>
    </w:p>
    <w:p w14:paraId="288866E0" w14:textId="5A76050C" w:rsidR="0088616A" w:rsidRDefault="0088616A" w:rsidP="00AC045E">
      <w:pPr>
        <w:tabs>
          <w:tab w:val="left" w:pos="3336"/>
        </w:tabs>
        <w:jc w:val="both"/>
        <w:rPr>
          <w:rFonts w:asciiTheme="majorHAnsi" w:hAnsiTheme="majorHAnsi" w:cstheme="majorHAnsi"/>
          <w:lang w:val="fr-FR"/>
        </w:rPr>
      </w:pPr>
    </w:p>
    <w:p w14:paraId="5D629DF7" w14:textId="318B9879" w:rsidR="006067BE" w:rsidRPr="00E94EA4" w:rsidRDefault="006067BE" w:rsidP="00E94EA4">
      <w:pPr>
        <w:pStyle w:val="ListParagraph"/>
        <w:numPr>
          <w:ilvl w:val="0"/>
          <w:numId w:val="18"/>
        </w:numPr>
        <w:tabs>
          <w:tab w:val="left" w:pos="3336"/>
        </w:tabs>
        <w:jc w:val="both"/>
        <w:rPr>
          <w:rFonts w:asciiTheme="majorHAnsi" w:hAnsiTheme="majorHAnsi" w:cstheme="majorHAnsi"/>
          <w:b/>
          <w:u w:val="single"/>
          <w:lang w:val="fr-FR"/>
        </w:rPr>
      </w:pPr>
      <w:r w:rsidRPr="00E94EA4">
        <w:rPr>
          <w:rFonts w:asciiTheme="majorHAnsi" w:hAnsiTheme="majorHAnsi" w:cstheme="majorHAnsi"/>
          <w:b/>
          <w:u w:val="single"/>
          <w:lang w:val="fr-FR"/>
        </w:rPr>
        <w:t>Art</w:t>
      </w:r>
      <w:r w:rsidR="00C431A5">
        <w:rPr>
          <w:rFonts w:asciiTheme="majorHAnsi" w:hAnsiTheme="majorHAnsi" w:cstheme="majorHAnsi"/>
          <w:b/>
          <w:u w:val="single"/>
          <w:lang w:val="fr-FR"/>
        </w:rPr>
        <w:t>.</w:t>
      </w:r>
      <w:r w:rsidRPr="00E94EA4">
        <w:rPr>
          <w:rFonts w:asciiTheme="majorHAnsi" w:hAnsiTheme="majorHAnsi" w:cstheme="majorHAnsi"/>
          <w:b/>
          <w:u w:val="single"/>
          <w:lang w:val="fr-FR"/>
        </w:rPr>
        <w:t xml:space="preserve"> 38 – Protection contre le froid</w:t>
      </w:r>
    </w:p>
    <w:p w14:paraId="6357597C" w14:textId="1CB715DD" w:rsidR="006067BE" w:rsidRPr="009102BA" w:rsidRDefault="006067BE" w:rsidP="006067BE">
      <w:pPr>
        <w:tabs>
          <w:tab w:val="left" w:pos="3336"/>
        </w:tabs>
        <w:jc w:val="both"/>
        <w:rPr>
          <w:rFonts w:asciiTheme="majorHAnsi" w:hAnsiTheme="majorHAnsi" w:cstheme="majorHAnsi"/>
          <w:lang w:val="fr-FR"/>
        </w:rPr>
      </w:pPr>
      <w:r w:rsidRPr="009102BA">
        <w:rPr>
          <w:rFonts w:asciiTheme="majorHAnsi" w:hAnsiTheme="majorHAnsi" w:cstheme="majorHAnsi"/>
          <w:lang w:val="fr-FR"/>
        </w:rPr>
        <w:t xml:space="preserve">Cette disposition est complétée par </w:t>
      </w:r>
      <w:r w:rsidR="00DD7ABA">
        <w:rPr>
          <w:rFonts w:asciiTheme="majorHAnsi" w:hAnsiTheme="majorHAnsi" w:cstheme="majorHAnsi"/>
          <w:lang w:val="fr-FR"/>
        </w:rPr>
        <w:t>un nouvel alinéa 3 :</w:t>
      </w:r>
      <w:r w:rsidRPr="009102BA">
        <w:rPr>
          <w:rFonts w:asciiTheme="majorHAnsi" w:hAnsiTheme="majorHAnsi" w:cstheme="majorHAnsi"/>
          <w:lang w:val="fr-FR"/>
        </w:rPr>
        <w:t xml:space="preserve"> </w:t>
      </w:r>
      <w:bookmarkStart w:id="0" w:name="_GoBack"/>
      <w:bookmarkEnd w:id="0"/>
    </w:p>
    <w:p w14:paraId="01F044F1" w14:textId="2CF455ED" w:rsidR="00B05260" w:rsidRDefault="00B63BF5" w:rsidP="00B05260">
      <w:pPr>
        <w:tabs>
          <w:tab w:val="left" w:pos="3336"/>
        </w:tabs>
        <w:jc w:val="both"/>
        <w:rPr>
          <w:rFonts w:asciiTheme="majorHAnsi" w:hAnsiTheme="majorHAnsi" w:cstheme="majorHAnsi"/>
          <w:i/>
          <w:lang w:val="fr-FR"/>
        </w:rPr>
      </w:pPr>
      <w:r>
        <w:rPr>
          <w:rFonts w:asciiTheme="majorHAnsi" w:hAnsiTheme="majorHAnsi" w:cstheme="majorHAnsi"/>
          <w:i/>
          <w:lang w:val="fr-FR"/>
        </w:rPr>
        <w:t xml:space="preserve"> </w:t>
      </w:r>
      <w:r w:rsidR="00B05260">
        <w:rPr>
          <w:rFonts w:asciiTheme="majorHAnsi" w:hAnsiTheme="majorHAnsi" w:cstheme="majorHAnsi"/>
          <w:i/>
          <w:lang w:val="fr-FR"/>
        </w:rPr>
        <w:t>« </w:t>
      </w:r>
      <w:r w:rsidR="00DD7ABA">
        <w:rPr>
          <w:rFonts w:asciiTheme="majorHAnsi" w:hAnsiTheme="majorHAnsi" w:cstheme="majorHAnsi"/>
          <w:i/>
          <w:lang w:val="fr-FR"/>
        </w:rPr>
        <w:t xml:space="preserve">Pour les </w:t>
      </w:r>
      <w:r w:rsidR="00DD7ABA" w:rsidRPr="00DD7ABA">
        <w:rPr>
          <w:rFonts w:asciiTheme="majorHAnsi" w:hAnsiTheme="majorHAnsi" w:cstheme="majorHAnsi"/>
          <w:i/>
          <w:lang w:val="fr-FR"/>
        </w:rPr>
        <w:t>habitations légères</w:t>
      </w:r>
      <w:r w:rsidR="007B12D2">
        <w:rPr>
          <w:rFonts w:asciiTheme="majorHAnsi" w:hAnsiTheme="majorHAnsi" w:cstheme="majorHAnsi"/>
          <w:i/>
          <w:lang w:val="fr-FR"/>
        </w:rPr>
        <w:t xml:space="preserve"> disposant d’une surface construite brute inférieure à 20m</w:t>
      </w:r>
      <w:r w:rsidR="007B12D2">
        <w:rPr>
          <w:rFonts w:asciiTheme="majorHAnsi" w:hAnsiTheme="majorHAnsi" w:cstheme="majorHAnsi"/>
          <w:i/>
          <w:vertAlign w:val="superscript"/>
          <w:lang w:val="fr-FR"/>
        </w:rPr>
        <w:t>2</w:t>
      </w:r>
      <w:r w:rsidR="00DD7ABA" w:rsidRPr="00DD7ABA">
        <w:rPr>
          <w:rFonts w:asciiTheme="majorHAnsi" w:hAnsiTheme="majorHAnsi" w:cstheme="majorHAnsi"/>
          <w:i/>
          <w:lang w:val="fr-FR"/>
        </w:rPr>
        <w:t xml:space="preserve">, </w:t>
      </w:r>
      <w:r w:rsidR="00B05260" w:rsidRPr="00DD7ABA">
        <w:rPr>
          <w:rFonts w:asciiTheme="majorHAnsi" w:hAnsiTheme="majorHAnsi" w:cstheme="majorHAnsi"/>
          <w:i/>
          <w:lang w:val="fr-FR"/>
        </w:rPr>
        <w:t>les</w:t>
      </w:r>
      <w:r w:rsidR="00B05260" w:rsidRPr="009102BA">
        <w:rPr>
          <w:rFonts w:asciiTheme="majorHAnsi" w:hAnsiTheme="majorHAnsi" w:cstheme="majorHAnsi"/>
          <w:i/>
          <w:lang w:val="fr-FR"/>
        </w:rPr>
        <w:t xml:space="preserve"> éléments de construction en contact avec le climat extérieur doivent être conçus de sorte que les coefficients de transmission thermique ne dépassent pas les valeurs maximales fixées dans le tableau repris ci-dessous :</w:t>
      </w:r>
    </w:p>
    <w:p w14:paraId="349130C7" w14:textId="77777777" w:rsidR="00B170B7" w:rsidRPr="009102BA" w:rsidRDefault="00B170B7" w:rsidP="00B05260">
      <w:pPr>
        <w:tabs>
          <w:tab w:val="left" w:pos="3336"/>
        </w:tabs>
        <w:jc w:val="both"/>
        <w:rPr>
          <w:rFonts w:asciiTheme="majorHAnsi" w:hAnsiTheme="majorHAnsi" w:cstheme="majorHAnsi"/>
          <w:i/>
          <w:lang w:val="fr-FR"/>
        </w:rPr>
      </w:pPr>
    </w:p>
    <w:tbl>
      <w:tblPr>
        <w:tblStyle w:val="TableGrid"/>
        <w:tblW w:w="0" w:type="auto"/>
        <w:tblLook w:val="04A0" w:firstRow="1" w:lastRow="0" w:firstColumn="1" w:lastColumn="0" w:noHBand="0" w:noVBand="1"/>
      </w:tblPr>
      <w:tblGrid>
        <w:gridCol w:w="4508"/>
        <w:gridCol w:w="4508"/>
      </w:tblGrid>
      <w:tr w:rsidR="00B05260" w:rsidRPr="00B170B7" w14:paraId="0495B287" w14:textId="77777777" w:rsidTr="00AB6827">
        <w:tc>
          <w:tcPr>
            <w:tcW w:w="4508" w:type="dxa"/>
          </w:tcPr>
          <w:p w14:paraId="79917092" w14:textId="77777777" w:rsidR="00B05260" w:rsidRPr="009102BA" w:rsidRDefault="00B05260" w:rsidP="00AB6827">
            <w:pPr>
              <w:tabs>
                <w:tab w:val="left" w:pos="3336"/>
              </w:tabs>
              <w:spacing w:line="276" w:lineRule="auto"/>
              <w:jc w:val="both"/>
              <w:rPr>
                <w:rFonts w:asciiTheme="majorHAnsi" w:hAnsiTheme="majorHAnsi" w:cstheme="majorHAnsi"/>
                <w:b/>
                <w:i/>
                <w:lang w:val="fr-FR"/>
              </w:rPr>
            </w:pPr>
            <w:r w:rsidRPr="009102BA">
              <w:rPr>
                <w:rFonts w:asciiTheme="majorHAnsi" w:hAnsiTheme="majorHAnsi" w:cstheme="majorHAnsi"/>
                <w:b/>
                <w:i/>
                <w:lang w:val="fr-FR"/>
              </w:rPr>
              <w:t>Eléments de construction en contact avec le climat extérieur</w:t>
            </w:r>
          </w:p>
        </w:tc>
        <w:tc>
          <w:tcPr>
            <w:tcW w:w="4508" w:type="dxa"/>
          </w:tcPr>
          <w:p w14:paraId="5B9880E5" w14:textId="77777777" w:rsidR="00B05260" w:rsidRPr="009102BA" w:rsidRDefault="00B05260" w:rsidP="00AB6827">
            <w:pPr>
              <w:tabs>
                <w:tab w:val="left" w:pos="3336"/>
              </w:tabs>
              <w:spacing w:line="276" w:lineRule="auto"/>
              <w:jc w:val="both"/>
              <w:rPr>
                <w:rFonts w:asciiTheme="majorHAnsi" w:hAnsiTheme="majorHAnsi" w:cstheme="majorHAnsi"/>
                <w:b/>
                <w:i/>
                <w:lang w:val="fr-FR"/>
              </w:rPr>
            </w:pPr>
            <w:r w:rsidRPr="009102BA">
              <w:rPr>
                <w:rFonts w:asciiTheme="majorHAnsi" w:hAnsiTheme="majorHAnsi" w:cstheme="majorHAnsi"/>
                <w:b/>
                <w:i/>
                <w:lang w:val="fr-FR"/>
              </w:rPr>
              <w:t xml:space="preserve">Valeurs maximales des coefficients de transmission thermique </w:t>
            </w:r>
            <w:proofErr w:type="spellStart"/>
            <w:r w:rsidRPr="009102BA">
              <w:rPr>
                <w:rFonts w:asciiTheme="majorHAnsi" w:hAnsiTheme="majorHAnsi" w:cstheme="majorHAnsi"/>
                <w:b/>
                <w:i/>
                <w:lang w:val="fr-FR"/>
              </w:rPr>
              <w:t>U</w:t>
            </w:r>
            <w:r w:rsidRPr="009102BA">
              <w:rPr>
                <w:rFonts w:asciiTheme="majorHAnsi" w:hAnsiTheme="majorHAnsi" w:cstheme="majorHAnsi"/>
                <w:b/>
                <w:i/>
                <w:vertAlign w:val="subscript"/>
                <w:lang w:val="fr-FR"/>
              </w:rPr>
              <w:t>max</w:t>
            </w:r>
            <w:proofErr w:type="spellEnd"/>
            <w:r w:rsidRPr="009102BA">
              <w:rPr>
                <w:rFonts w:asciiTheme="majorHAnsi" w:hAnsiTheme="majorHAnsi" w:cstheme="majorHAnsi"/>
                <w:b/>
                <w:i/>
                <w:lang w:val="fr-FR"/>
              </w:rPr>
              <w:t xml:space="preserve"> [W/m</w:t>
            </w:r>
            <w:r w:rsidRPr="009102BA">
              <w:rPr>
                <w:rFonts w:asciiTheme="majorHAnsi" w:hAnsiTheme="majorHAnsi" w:cstheme="majorHAnsi"/>
                <w:b/>
                <w:i/>
                <w:vertAlign w:val="superscript"/>
                <w:lang w:val="fr-FR"/>
              </w:rPr>
              <w:t>2</w:t>
            </w:r>
            <w:r w:rsidRPr="009102BA">
              <w:rPr>
                <w:rFonts w:asciiTheme="majorHAnsi" w:hAnsiTheme="majorHAnsi" w:cstheme="majorHAnsi"/>
                <w:b/>
                <w:i/>
                <w:lang w:val="fr-FR"/>
              </w:rPr>
              <w:t>K]</w:t>
            </w:r>
          </w:p>
        </w:tc>
      </w:tr>
      <w:tr w:rsidR="00B05260" w:rsidRPr="007B12D2" w14:paraId="7C1F271B" w14:textId="77777777" w:rsidTr="00AB6827">
        <w:tc>
          <w:tcPr>
            <w:tcW w:w="4508" w:type="dxa"/>
          </w:tcPr>
          <w:p w14:paraId="7DEE96A4" w14:textId="77777777" w:rsidR="00B05260" w:rsidRPr="007B12D2" w:rsidRDefault="00B05260" w:rsidP="00AB6827">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Mur et fermeture horizontale inférieure</w:t>
            </w:r>
          </w:p>
        </w:tc>
        <w:tc>
          <w:tcPr>
            <w:tcW w:w="4508" w:type="dxa"/>
          </w:tcPr>
          <w:p w14:paraId="45161B39" w14:textId="3D487AAA" w:rsidR="00B05260" w:rsidRPr="007B12D2" w:rsidRDefault="007B12D2" w:rsidP="00AB6827">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0,40</w:t>
            </w:r>
          </w:p>
        </w:tc>
      </w:tr>
      <w:tr w:rsidR="00B05260" w:rsidRPr="007B12D2" w14:paraId="0BF69BAE" w14:textId="77777777" w:rsidTr="00AB6827">
        <w:tc>
          <w:tcPr>
            <w:tcW w:w="4508" w:type="dxa"/>
          </w:tcPr>
          <w:p w14:paraId="522C2900" w14:textId="77777777" w:rsidR="00B05260" w:rsidRPr="007B12D2" w:rsidRDefault="00B05260" w:rsidP="00AB6827">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Toiture</w:t>
            </w:r>
          </w:p>
        </w:tc>
        <w:tc>
          <w:tcPr>
            <w:tcW w:w="4508" w:type="dxa"/>
          </w:tcPr>
          <w:p w14:paraId="032DB7F3" w14:textId="26C30BC0" w:rsidR="00B05260" w:rsidRPr="007B12D2" w:rsidRDefault="006942A5" w:rsidP="00AB6827">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0,</w:t>
            </w:r>
            <w:r w:rsidR="007B12D2" w:rsidRPr="007B12D2">
              <w:rPr>
                <w:rFonts w:asciiTheme="majorHAnsi" w:hAnsiTheme="majorHAnsi" w:cstheme="majorHAnsi"/>
                <w:i/>
                <w:lang w:val="fr-FR"/>
              </w:rPr>
              <w:t>38</w:t>
            </w:r>
          </w:p>
        </w:tc>
      </w:tr>
      <w:tr w:rsidR="00B05260" w:rsidRPr="007B12D2" w14:paraId="307A539A" w14:textId="77777777" w:rsidTr="00AB6827">
        <w:tc>
          <w:tcPr>
            <w:tcW w:w="4508" w:type="dxa"/>
          </w:tcPr>
          <w:p w14:paraId="0EBF10BF" w14:textId="6DC3800F" w:rsidR="00B05260" w:rsidRPr="007B12D2" w:rsidRDefault="00B05260" w:rsidP="0073113A">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Fenêtre</w:t>
            </w:r>
            <w:r w:rsidR="0073113A" w:rsidRPr="007B12D2">
              <w:rPr>
                <w:rFonts w:asciiTheme="majorHAnsi" w:hAnsiTheme="majorHAnsi" w:cstheme="majorHAnsi"/>
                <w:i/>
                <w:lang w:val="fr-FR"/>
              </w:rPr>
              <w:t xml:space="preserve"> ou</w:t>
            </w:r>
            <w:r w:rsidR="003947E6" w:rsidRPr="007B12D2">
              <w:rPr>
                <w:rFonts w:asciiTheme="majorHAnsi" w:hAnsiTheme="majorHAnsi" w:cstheme="majorHAnsi"/>
                <w:i/>
                <w:lang w:val="fr-FR"/>
              </w:rPr>
              <w:t xml:space="preserve"> </w:t>
            </w:r>
            <w:r w:rsidRPr="007B12D2">
              <w:rPr>
                <w:rFonts w:asciiTheme="majorHAnsi" w:hAnsiTheme="majorHAnsi" w:cstheme="majorHAnsi"/>
                <w:i/>
                <w:lang w:val="fr-FR"/>
              </w:rPr>
              <w:t>porte-fenêtre</w:t>
            </w:r>
            <w:r w:rsidR="003947E6" w:rsidRPr="007B12D2">
              <w:rPr>
                <w:rFonts w:asciiTheme="majorHAnsi" w:hAnsiTheme="majorHAnsi" w:cstheme="majorHAnsi"/>
                <w:i/>
                <w:lang w:val="fr-FR"/>
              </w:rPr>
              <w:t xml:space="preserve"> </w:t>
            </w:r>
          </w:p>
        </w:tc>
        <w:tc>
          <w:tcPr>
            <w:tcW w:w="4508" w:type="dxa"/>
          </w:tcPr>
          <w:p w14:paraId="52F23223" w14:textId="55D6B02B" w:rsidR="00B05260" w:rsidRPr="007B12D2" w:rsidRDefault="003947E6" w:rsidP="00AB6827">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1,</w:t>
            </w:r>
            <w:r w:rsidR="0073113A" w:rsidRPr="007B12D2">
              <w:rPr>
                <w:rFonts w:asciiTheme="majorHAnsi" w:hAnsiTheme="majorHAnsi" w:cstheme="majorHAnsi"/>
                <w:i/>
                <w:lang w:val="fr-FR"/>
              </w:rPr>
              <w:t>20</w:t>
            </w:r>
          </w:p>
        </w:tc>
      </w:tr>
      <w:tr w:rsidR="00B05260" w:rsidRPr="007B12D2" w14:paraId="350DF373" w14:textId="0ADC3AF8" w:rsidTr="00AB6827">
        <w:tc>
          <w:tcPr>
            <w:tcW w:w="4508" w:type="dxa"/>
          </w:tcPr>
          <w:p w14:paraId="5FE605DF" w14:textId="15F2685C" w:rsidR="00B05260" w:rsidRPr="007B12D2" w:rsidRDefault="00B05260" w:rsidP="00AB6827">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Porte extérieur</w:t>
            </w:r>
            <w:r w:rsidR="0073113A" w:rsidRPr="007B12D2">
              <w:rPr>
                <w:rFonts w:asciiTheme="majorHAnsi" w:hAnsiTheme="majorHAnsi" w:cstheme="majorHAnsi"/>
                <w:i/>
                <w:lang w:val="fr-FR"/>
              </w:rPr>
              <w:t>e</w:t>
            </w:r>
          </w:p>
        </w:tc>
        <w:tc>
          <w:tcPr>
            <w:tcW w:w="4508" w:type="dxa"/>
          </w:tcPr>
          <w:p w14:paraId="167C2E6E" w14:textId="739AAD5A" w:rsidR="00B05260" w:rsidRPr="007B12D2" w:rsidRDefault="0073113A" w:rsidP="00AB6827">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1,60</w:t>
            </w:r>
          </w:p>
        </w:tc>
      </w:tr>
    </w:tbl>
    <w:p w14:paraId="543D3AD3" w14:textId="77777777" w:rsidR="007B12D2" w:rsidRPr="007B12D2" w:rsidRDefault="007B12D2" w:rsidP="00707764">
      <w:pPr>
        <w:tabs>
          <w:tab w:val="left" w:pos="3336"/>
        </w:tabs>
        <w:jc w:val="both"/>
        <w:rPr>
          <w:rFonts w:asciiTheme="majorHAnsi" w:hAnsiTheme="majorHAnsi" w:cstheme="majorHAnsi"/>
          <w:i/>
          <w:lang w:val="fr-FR"/>
        </w:rPr>
      </w:pPr>
    </w:p>
    <w:p w14:paraId="301EC08D" w14:textId="08C64CC2" w:rsidR="00B170B7" w:rsidRPr="007B12D2" w:rsidRDefault="007B12D2" w:rsidP="007B12D2">
      <w:pPr>
        <w:tabs>
          <w:tab w:val="left" w:pos="3336"/>
        </w:tabs>
        <w:jc w:val="both"/>
        <w:rPr>
          <w:rFonts w:asciiTheme="majorHAnsi" w:hAnsiTheme="majorHAnsi" w:cstheme="majorHAnsi"/>
          <w:i/>
          <w:lang w:val="fr-FR"/>
        </w:rPr>
      </w:pPr>
      <w:r w:rsidRPr="007B12D2">
        <w:rPr>
          <w:rFonts w:asciiTheme="majorHAnsi" w:hAnsiTheme="majorHAnsi" w:cstheme="majorHAnsi"/>
          <w:i/>
          <w:lang w:val="fr-FR"/>
        </w:rPr>
        <w:t xml:space="preserve">« Pour les habitations légères disposant d’une surface construite brute </w:t>
      </w:r>
      <w:r>
        <w:rPr>
          <w:rFonts w:asciiTheme="majorHAnsi" w:hAnsiTheme="majorHAnsi" w:cstheme="majorHAnsi"/>
          <w:i/>
          <w:lang w:val="fr-FR"/>
        </w:rPr>
        <w:t>supérieure à 20m</w:t>
      </w:r>
      <w:r>
        <w:rPr>
          <w:rFonts w:asciiTheme="majorHAnsi" w:hAnsiTheme="majorHAnsi" w:cstheme="majorHAnsi"/>
          <w:i/>
          <w:vertAlign w:val="superscript"/>
          <w:lang w:val="fr-FR"/>
        </w:rPr>
        <w:t>2</w:t>
      </w:r>
      <w:r w:rsidRPr="007B12D2">
        <w:rPr>
          <w:rFonts w:asciiTheme="majorHAnsi" w:hAnsiTheme="majorHAnsi" w:cstheme="majorHAnsi"/>
          <w:i/>
          <w:lang w:val="fr-FR"/>
        </w:rPr>
        <w:t>, les éléments de construction en contact avec le climat extérieur doivent être conçus de sorte que les coefficients de transmission thermique ne dépassent pas les valeurs maximales fixées dans le tableau repris ci-dessous :</w:t>
      </w:r>
      <w:r w:rsidR="00B170B7">
        <w:rPr>
          <w:rFonts w:asciiTheme="majorHAnsi" w:hAnsiTheme="majorHAnsi" w:cstheme="majorHAnsi"/>
          <w:i/>
          <w:lang w:val="fr-FR"/>
        </w:rPr>
        <w:br/>
      </w:r>
    </w:p>
    <w:tbl>
      <w:tblPr>
        <w:tblStyle w:val="TableGrid"/>
        <w:tblW w:w="0" w:type="auto"/>
        <w:tblLook w:val="04A0" w:firstRow="1" w:lastRow="0" w:firstColumn="1" w:lastColumn="0" w:noHBand="0" w:noVBand="1"/>
      </w:tblPr>
      <w:tblGrid>
        <w:gridCol w:w="4508"/>
        <w:gridCol w:w="4508"/>
      </w:tblGrid>
      <w:tr w:rsidR="007B12D2" w:rsidRPr="00B170B7" w14:paraId="03CCE666" w14:textId="77777777" w:rsidTr="007B0BA3">
        <w:tc>
          <w:tcPr>
            <w:tcW w:w="4508" w:type="dxa"/>
          </w:tcPr>
          <w:p w14:paraId="235BEF90" w14:textId="77777777" w:rsidR="007B12D2" w:rsidRPr="007B12D2" w:rsidRDefault="007B12D2" w:rsidP="007B0BA3">
            <w:pPr>
              <w:tabs>
                <w:tab w:val="left" w:pos="3336"/>
              </w:tabs>
              <w:spacing w:line="276" w:lineRule="auto"/>
              <w:jc w:val="both"/>
              <w:rPr>
                <w:rFonts w:asciiTheme="majorHAnsi" w:hAnsiTheme="majorHAnsi" w:cstheme="majorHAnsi"/>
                <w:b/>
                <w:i/>
                <w:lang w:val="fr-FR"/>
              </w:rPr>
            </w:pPr>
            <w:r w:rsidRPr="007B12D2">
              <w:rPr>
                <w:rFonts w:asciiTheme="majorHAnsi" w:hAnsiTheme="majorHAnsi" w:cstheme="majorHAnsi"/>
                <w:b/>
                <w:i/>
                <w:lang w:val="fr-FR"/>
              </w:rPr>
              <w:t>Eléments de construction en contact avec le climat extérieur</w:t>
            </w:r>
          </w:p>
        </w:tc>
        <w:tc>
          <w:tcPr>
            <w:tcW w:w="4508" w:type="dxa"/>
          </w:tcPr>
          <w:p w14:paraId="19022EDF" w14:textId="77777777" w:rsidR="007B12D2" w:rsidRPr="007B12D2" w:rsidRDefault="007B12D2" w:rsidP="007B0BA3">
            <w:pPr>
              <w:tabs>
                <w:tab w:val="left" w:pos="3336"/>
              </w:tabs>
              <w:spacing w:line="276" w:lineRule="auto"/>
              <w:jc w:val="both"/>
              <w:rPr>
                <w:rFonts w:asciiTheme="majorHAnsi" w:hAnsiTheme="majorHAnsi" w:cstheme="majorHAnsi"/>
                <w:b/>
                <w:i/>
                <w:lang w:val="fr-FR"/>
              </w:rPr>
            </w:pPr>
            <w:r w:rsidRPr="007B12D2">
              <w:rPr>
                <w:rFonts w:asciiTheme="majorHAnsi" w:hAnsiTheme="majorHAnsi" w:cstheme="majorHAnsi"/>
                <w:b/>
                <w:i/>
                <w:lang w:val="fr-FR"/>
              </w:rPr>
              <w:t xml:space="preserve">Valeurs maximales des coefficients de transmission thermique </w:t>
            </w:r>
            <w:proofErr w:type="spellStart"/>
            <w:r w:rsidRPr="007B12D2">
              <w:rPr>
                <w:rFonts w:asciiTheme="majorHAnsi" w:hAnsiTheme="majorHAnsi" w:cstheme="majorHAnsi"/>
                <w:b/>
                <w:i/>
                <w:lang w:val="fr-FR"/>
              </w:rPr>
              <w:t>U</w:t>
            </w:r>
            <w:r w:rsidRPr="007B12D2">
              <w:rPr>
                <w:rFonts w:asciiTheme="majorHAnsi" w:hAnsiTheme="majorHAnsi" w:cstheme="majorHAnsi"/>
                <w:b/>
                <w:i/>
                <w:vertAlign w:val="subscript"/>
                <w:lang w:val="fr-FR"/>
              </w:rPr>
              <w:t>max</w:t>
            </w:r>
            <w:proofErr w:type="spellEnd"/>
            <w:r w:rsidRPr="007B12D2">
              <w:rPr>
                <w:rFonts w:asciiTheme="majorHAnsi" w:hAnsiTheme="majorHAnsi" w:cstheme="majorHAnsi"/>
                <w:b/>
                <w:i/>
                <w:lang w:val="fr-FR"/>
              </w:rPr>
              <w:t xml:space="preserve"> [W/m</w:t>
            </w:r>
            <w:r w:rsidRPr="007B12D2">
              <w:rPr>
                <w:rFonts w:asciiTheme="majorHAnsi" w:hAnsiTheme="majorHAnsi" w:cstheme="majorHAnsi"/>
                <w:b/>
                <w:i/>
                <w:vertAlign w:val="superscript"/>
                <w:lang w:val="fr-FR"/>
              </w:rPr>
              <w:t>2</w:t>
            </w:r>
            <w:r w:rsidRPr="007B12D2">
              <w:rPr>
                <w:rFonts w:asciiTheme="majorHAnsi" w:hAnsiTheme="majorHAnsi" w:cstheme="majorHAnsi"/>
                <w:b/>
                <w:i/>
                <w:lang w:val="fr-FR"/>
              </w:rPr>
              <w:t>K]</w:t>
            </w:r>
          </w:p>
        </w:tc>
      </w:tr>
      <w:tr w:rsidR="007B12D2" w:rsidRPr="007B12D2" w14:paraId="0274EA82" w14:textId="77777777" w:rsidTr="007B0BA3">
        <w:tc>
          <w:tcPr>
            <w:tcW w:w="4508" w:type="dxa"/>
          </w:tcPr>
          <w:p w14:paraId="66AF922C" w14:textId="77777777"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Mur et fermeture horizontale inférieure</w:t>
            </w:r>
          </w:p>
        </w:tc>
        <w:tc>
          <w:tcPr>
            <w:tcW w:w="4508" w:type="dxa"/>
          </w:tcPr>
          <w:p w14:paraId="788787E2" w14:textId="4DBA25E8"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0,38</w:t>
            </w:r>
          </w:p>
        </w:tc>
      </w:tr>
      <w:tr w:rsidR="007B12D2" w:rsidRPr="007B12D2" w14:paraId="4F103E43" w14:textId="77777777" w:rsidTr="007B0BA3">
        <w:tc>
          <w:tcPr>
            <w:tcW w:w="4508" w:type="dxa"/>
          </w:tcPr>
          <w:p w14:paraId="5A552503" w14:textId="77777777"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Toiture</w:t>
            </w:r>
          </w:p>
        </w:tc>
        <w:tc>
          <w:tcPr>
            <w:tcW w:w="4508" w:type="dxa"/>
          </w:tcPr>
          <w:p w14:paraId="0F79CF3E" w14:textId="3D7A8950"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0,30</w:t>
            </w:r>
          </w:p>
        </w:tc>
      </w:tr>
      <w:tr w:rsidR="007B12D2" w:rsidRPr="007B12D2" w14:paraId="3289A47E" w14:textId="77777777" w:rsidTr="007B0BA3">
        <w:tc>
          <w:tcPr>
            <w:tcW w:w="4508" w:type="dxa"/>
          </w:tcPr>
          <w:p w14:paraId="3D3167C8" w14:textId="77777777"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 xml:space="preserve">Fenêtre ou porte-fenêtre </w:t>
            </w:r>
          </w:p>
        </w:tc>
        <w:tc>
          <w:tcPr>
            <w:tcW w:w="4508" w:type="dxa"/>
          </w:tcPr>
          <w:p w14:paraId="2B673C86" w14:textId="77777777"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1,20</w:t>
            </w:r>
          </w:p>
        </w:tc>
      </w:tr>
      <w:tr w:rsidR="007B12D2" w:rsidRPr="009102BA" w14:paraId="1A90AC96" w14:textId="77777777" w:rsidTr="007B0BA3">
        <w:tc>
          <w:tcPr>
            <w:tcW w:w="4508" w:type="dxa"/>
          </w:tcPr>
          <w:p w14:paraId="65783802" w14:textId="77777777"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Porte extérieure</w:t>
            </w:r>
          </w:p>
        </w:tc>
        <w:tc>
          <w:tcPr>
            <w:tcW w:w="4508" w:type="dxa"/>
          </w:tcPr>
          <w:p w14:paraId="50099472" w14:textId="77777777" w:rsidR="007B12D2" w:rsidRPr="007B12D2" w:rsidRDefault="007B12D2" w:rsidP="007B0BA3">
            <w:pPr>
              <w:tabs>
                <w:tab w:val="left" w:pos="3336"/>
              </w:tabs>
              <w:spacing w:line="276" w:lineRule="auto"/>
              <w:jc w:val="both"/>
              <w:rPr>
                <w:rFonts w:asciiTheme="majorHAnsi" w:hAnsiTheme="majorHAnsi" w:cstheme="majorHAnsi"/>
                <w:i/>
                <w:lang w:val="fr-FR"/>
              </w:rPr>
            </w:pPr>
            <w:r w:rsidRPr="007B12D2">
              <w:rPr>
                <w:rFonts w:asciiTheme="majorHAnsi" w:hAnsiTheme="majorHAnsi" w:cstheme="majorHAnsi"/>
                <w:i/>
                <w:lang w:val="fr-FR"/>
              </w:rPr>
              <w:t>1,60</w:t>
            </w:r>
          </w:p>
        </w:tc>
      </w:tr>
    </w:tbl>
    <w:p w14:paraId="0A729587" w14:textId="129DB7D9" w:rsidR="00B63BF5" w:rsidRPr="00DD7ABA" w:rsidRDefault="002225ED" w:rsidP="00707764">
      <w:pPr>
        <w:tabs>
          <w:tab w:val="left" w:pos="3336"/>
        </w:tabs>
        <w:jc w:val="both"/>
        <w:rPr>
          <w:rFonts w:asciiTheme="majorHAnsi" w:hAnsiTheme="majorHAnsi" w:cstheme="majorHAnsi"/>
          <w:i/>
          <w:lang w:val="fr-FR"/>
        </w:rPr>
      </w:pPr>
      <w:r w:rsidRPr="00DD7ABA">
        <w:rPr>
          <w:rFonts w:asciiTheme="majorHAnsi" w:hAnsiTheme="majorHAnsi" w:cstheme="majorHAnsi"/>
          <w:i/>
          <w:lang w:val="fr-FR"/>
        </w:rPr>
        <w:t>».</w:t>
      </w:r>
    </w:p>
    <w:p w14:paraId="06F8802C" w14:textId="77777777" w:rsidR="00B05260" w:rsidRDefault="00B05260" w:rsidP="00B05260">
      <w:pPr>
        <w:pStyle w:val="ListParagraph"/>
        <w:tabs>
          <w:tab w:val="left" w:pos="3336"/>
        </w:tabs>
        <w:jc w:val="both"/>
        <w:rPr>
          <w:rFonts w:asciiTheme="majorHAnsi" w:hAnsiTheme="majorHAnsi" w:cstheme="majorHAnsi"/>
          <w:b/>
          <w:u w:val="single"/>
          <w:lang w:val="fr-FR"/>
        </w:rPr>
      </w:pPr>
    </w:p>
    <w:p w14:paraId="7E01A06C" w14:textId="0805B63C" w:rsidR="00BE5D5D" w:rsidRPr="00E94EA4" w:rsidRDefault="00BE5D5D" w:rsidP="00E94EA4">
      <w:pPr>
        <w:pStyle w:val="ListParagraph"/>
        <w:numPr>
          <w:ilvl w:val="0"/>
          <w:numId w:val="18"/>
        </w:numPr>
        <w:tabs>
          <w:tab w:val="left" w:pos="3336"/>
        </w:tabs>
        <w:jc w:val="both"/>
        <w:rPr>
          <w:rFonts w:asciiTheme="majorHAnsi" w:hAnsiTheme="majorHAnsi" w:cstheme="majorHAnsi"/>
          <w:b/>
          <w:u w:val="single"/>
          <w:lang w:val="fr-FR"/>
        </w:rPr>
      </w:pPr>
      <w:r w:rsidRPr="00E94EA4">
        <w:rPr>
          <w:rFonts w:asciiTheme="majorHAnsi" w:hAnsiTheme="majorHAnsi" w:cstheme="majorHAnsi"/>
          <w:b/>
          <w:u w:val="single"/>
          <w:lang w:val="fr-FR"/>
        </w:rPr>
        <w:t>Art</w:t>
      </w:r>
      <w:r w:rsidR="00C431A5">
        <w:rPr>
          <w:rFonts w:asciiTheme="majorHAnsi" w:hAnsiTheme="majorHAnsi" w:cstheme="majorHAnsi"/>
          <w:b/>
          <w:u w:val="single"/>
          <w:lang w:val="fr-FR"/>
        </w:rPr>
        <w:t>.</w:t>
      </w:r>
      <w:r w:rsidRPr="00E94EA4">
        <w:rPr>
          <w:rFonts w:asciiTheme="majorHAnsi" w:hAnsiTheme="majorHAnsi" w:cstheme="majorHAnsi"/>
          <w:b/>
          <w:u w:val="single"/>
          <w:lang w:val="fr-FR"/>
        </w:rPr>
        <w:t xml:space="preserve"> 46</w:t>
      </w:r>
      <w:r w:rsidR="0088616A" w:rsidRPr="00E94EA4">
        <w:rPr>
          <w:rFonts w:asciiTheme="majorHAnsi" w:hAnsiTheme="majorHAnsi" w:cstheme="majorHAnsi"/>
          <w:b/>
          <w:u w:val="single"/>
          <w:lang w:val="fr-FR"/>
        </w:rPr>
        <w:t xml:space="preserve"> – E</w:t>
      </w:r>
      <w:r w:rsidR="002053BE" w:rsidRPr="00E94EA4">
        <w:rPr>
          <w:rFonts w:asciiTheme="majorHAnsi" w:hAnsiTheme="majorHAnsi" w:cstheme="majorHAnsi"/>
          <w:b/>
          <w:u w:val="single"/>
          <w:lang w:val="fr-FR"/>
        </w:rPr>
        <w:t xml:space="preserve">scaliers </w:t>
      </w:r>
    </w:p>
    <w:p w14:paraId="563DE042" w14:textId="38214567" w:rsidR="0088616A" w:rsidRPr="009102BA" w:rsidRDefault="0088616A" w:rsidP="0088616A">
      <w:pPr>
        <w:tabs>
          <w:tab w:val="left" w:pos="3336"/>
        </w:tabs>
        <w:jc w:val="both"/>
        <w:rPr>
          <w:rFonts w:asciiTheme="majorHAnsi" w:hAnsiTheme="majorHAnsi" w:cstheme="majorHAnsi"/>
          <w:lang w:val="fr-FR"/>
        </w:rPr>
      </w:pPr>
      <w:r w:rsidRPr="009102BA">
        <w:rPr>
          <w:rFonts w:asciiTheme="majorHAnsi" w:hAnsiTheme="majorHAnsi" w:cstheme="majorHAnsi"/>
          <w:lang w:val="fr-FR"/>
        </w:rPr>
        <w:t xml:space="preserve">Cette disposition est complétée par un nouvel alinéa 11. </w:t>
      </w:r>
    </w:p>
    <w:p w14:paraId="4151CBEF" w14:textId="33F8897F" w:rsidR="0088616A" w:rsidRPr="009102BA" w:rsidRDefault="009102BA" w:rsidP="00AC045E">
      <w:pPr>
        <w:tabs>
          <w:tab w:val="left" w:pos="3336"/>
        </w:tabs>
        <w:jc w:val="both"/>
        <w:rPr>
          <w:rFonts w:asciiTheme="majorHAnsi" w:hAnsiTheme="majorHAnsi" w:cstheme="majorHAnsi"/>
          <w:i/>
          <w:lang w:val="fr-FR"/>
        </w:rPr>
      </w:pPr>
      <w:r>
        <w:rPr>
          <w:rFonts w:asciiTheme="majorHAnsi" w:hAnsiTheme="majorHAnsi" w:cstheme="majorHAnsi"/>
          <w:i/>
          <w:lang w:val="fr-FR"/>
        </w:rPr>
        <w:t>« </w:t>
      </w:r>
      <w:r w:rsidR="0088616A" w:rsidRPr="009102BA">
        <w:rPr>
          <w:rFonts w:asciiTheme="majorHAnsi" w:hAnsiTheme="majorHAnsi" w:cstheme="majorHAnsi"/>
          <w:i/>
          <w:lang w:val="fr-FR"/>
        </w:rPr>
        <w:t>Pour les habitations légères, les dispositions du prése</w:t>
      </w:r>
      <w:r>
        <w:rPr>
          <w:rFonts w:asciiTheme="majorHAnsi" w:hAnsiTheme="majorHAnsi" w:cstheme="majorHAnsi"/>
          <w:i/>
          <w:lang w:val="fr-FR"/>
        </w:rPr>
        <w:t>nt article ne s’appliquent pas. »</w:t>
      </w:r>
      <w:r w:rsidR="002225ED">
        <w:rPr>
          <w:rFonts w:asciiTheme="majorHAnsi" w:hAnsiTheme="majorHAnsi" w:cstheme="majorHAnsi"/>
          <w:i/>
          <w:lang w:val="fr-FR"/>
        </w:rPr>
        <w:t>.</w:t>
      </w:r>
    </w:p>
    <w:p w14:paraId="700AD379" w14:textId="77777777" w:rsidR="0088616A" w:rsidRPr="007E0EF8" w:rsidRDefault="0088616A" w:rsidP="00AC045E">
      <w:pPr>
        <w:tabs>
          <w:tab w:val="left" w:pos="3336"/>
        </w:tabs>
        <w:jc w:val="both"/>
        <w:rPr>
          <w:rFonts w:asciiTheme="majorHAnsi" w:hAnsiTheme="majorHAnsi" w:cstheme="majorHAnsi"/>
          <w:u w:val="single"/>
          <w:lang w:val="fr-FR"/>
        </w:rPr>
      </w:pPr>
    </w:p>
    <w:p w14:paraId="4D09C292" w14:textId="107A3321" w:rsidR="00BE5D5D" w:rsidRPr="00E94EA4" w:rsidRDefault="00BE5D5D" w:rsidP="00E94EA4">
      <w:pPr>
        <w:pStyle w:val="ListParagraph"/>
        <w:numPr>
          <w:ilvl w:val="0"/>
          <w:numId w:val="18"/>
        </w:numPr>
        <w:tabs>
          <w:tab w:val="left" w:pos="3336"/>
        </w:tabs>
        <w:jc w:val="both"/>
        <w:rPr>
          <w:rFonts w:asciiTheme="majorHAnsi" w:hAnsiTheme="majorHAnsi" w:cstheme="majorHAnsi"/>
          <w:b/>
          <w:u w:val="single"/>
          <w:lang w:val="fr-FR"/>
        </w:rPr>
      </w:pPr>
      <w:r w:rsidRPr="00E94EA4">
        <w:rPr>
          <w:rFonts w:asciiTheme="majorHAnsi" w:hAnsiTheme="majorHAnsi" w:cstheme="majorHAnsi"/>
          <w:b/>
          <w:u w:val="single"/>
          <w:lang w:val="fr-FR"/>
        </w:rPr>
        <w:t>Art</w:t>
      </w:r>
      <w:r w:rsidR="00C431A5">
        <w:rPr>
          <w:rFonts w:asciiTheme="majorHAnsi" w:hAnsiTheme="majorHAnsi" w:cstheme="majorHAnsi"/>
          <w:b/>
          <w:u w:val="single"/>
          <w:lang w:val="fr-FR"/>
        </w:rPr>
        <w:t>.</w:t>
      </w:r>
      <w:r w:rsidRPr="00E94EA4">
        <w:rPr>
          <w:rFonts w:asciiTheme="majorHAnsi" w:hAnsiTheme="majorHAnsi" w:cstheme="majorHAnsi"/>
          <w:b/>
          <w:u w:val="single"/>
          <w:lang w:val="fr-FR"/>
        </w:rPr>
        <w:t xml:space="preserve"> 59</w:t>
      </w:r>
      <w:r w:rsidR="0088616A" w:rsidRPr="00E94EA4">
        <w:rPr>
          <w:rFonts w:asciiTheme="majorHAnsi" w:hAnsiTheme="majorHAnsi" w:cstheme="majorHAnsi"/>
          <w:b/>
          <w:u w:val="single"/>
          <w:lang w:val="fr-FR"/>
        </w:rPr>
        <w:t>.1</w:t>
      </w:r>
      <w:r w:rsidR="002053BE" w:rsidRPr="00E94EA4">
        <w:rPr>
          <w:rFonts w:asciiTheme="majorHAnsi" w:hAnsiTheme="majorHAnsi" w:cstheme="majorHAnsi"/>
          <w:b/>
          <w:u w:val="single"/>
          <w:lang w:val="fr-FR"/>
        </w:rPr>
        <w:t xml:space="preserve"> </w:t>
      </w:r>
      <w:r w:rsidR="0088616A" w:rsidRPr="00E94EA4">
        <w:rPr>
          <w:rFonts w:asciiTheme="majorHAnsi" w:hAnsiTheme="majorHAnsi" w:cstheme="majorHAnsi"/>
          <w:b/>
          <w:u w:val="single"/>
          <w:lang w:val="fr-FR"/>
        </w:rPr>
        <w:t>– WC</w:t>
      </w:r>
    </w:p>
    <w:p w14:paraId="513BC225" w14:textId="77777777" w:rsidR="0088616A" w:rsidRPr="009102BA" w:rsidRDefault="0088616A" w:rsidP="0088616A">
      <w:pPr>
        <w:tabs>
          <w:tab w:val="left" w:pos="3336"/>
        </w:tabs>
        <w:jc w:val="both"/>
        <w:rPr>
          <w:rFonts w:asciiTheme="majorHAnsi" w:hAnsiTheme="majorHAnsi" w:cstheme="majorHAnsi"/>
          <w:lang w:val="fr-FR"/>
        </w:rPr>
      </w:pPr>
      <w:r w:rsidRPr="009102BA">
        <w:rPr>
          <w:rFonts w:asciiTheme="majorHAnsi" w:hAnsiTheme="majorHAnsi" w:cstheme="majorHAnsi"/>
          <w:lang w:val="fr-FR"/>
        </w:rPr>
        <w:t>Cette disposition est complétée par un nouvel alinéa 3.</w:t>
      </w:r>
    </w:p>
    <w:p w14:paraId="7F2E67BE" w14:textId="74399C19" w:rsidR="0088616A" w:rsidRPr="009102BA" w:rsidRDefault="009102BA" w:rsidP="0088616A">
      <w:pPr>
        <w:tabs>
          <w:tab w:val="left" w:pos="3336"/>
        </w:tabs>
        <w:jc w:val="both"/>
        <w:rPr>
          <w:rFonts w:asciiTheme="majorHAnsi" w:hAnsiTheme="majorHAnsi" w:cstheme="majorHAnsi"/>
          <w:i/>
          <w:lang w:val="fr-FR"/>
        </w:rPr>
      </w:pPr>
      <w:r>
        <w:rPr>
          <w:rFonts w:asciiTheme="majorHAnsi" w:hAnsiTheme="majorHAnsi" w:cstheme="majorHAnsi"/>
          <w:i/>
          <w:lang w:val="fr-FR"/>
        </w:rPr>
        <w:t>« </w:t>
      </w:r>
      <w:r w:rsidR="0088616A" w:rsidRPr="009102BA">
        <w:rPr>
          <w:rFonts w:asciiTheme="majorHAnsi" w:hAnsiTheme="majorHAnsi" w:cstheme="majorHAnsi"/>
          <w:i/>
          <w:lang w:val="fr-FR"/>
        </w:rPr>
        <w:t>L’alinéa 2 ne s’applique pas en</w:t>
      </w:r>
      <w:r>
        <w:rPr>
          <w:rFonts w:asciiTheme="majorHAnsi" w:hAnsiTheme="majorHAnsi" w:cstheme="majorHAnsi"/>
          <w:i/>
          <w:lang w:val="fr-FR"/>
        </w:rPr>
        <w:t xml:space="preserve"> matière d’habitations légères. »</w:t>
      </w:r>
      <w:r w:rsidR="002225ED">
        <w:rPr>
          <w:rFonts w:asciiTheme="majorHAnsi" w:hAnsiTheme="majorHAnsi" w:cstheme="majorHAnsi"/>
          <w:i/>
          <w:lang w:val="fr-FR"/>
        </w:rPr>
        <w:t>.</w:t>
      </w:r>
    </w:p>
    <w:p w14:paraId="3BD20979" w14:textId="77777777" w:rsidR="0088616A" w:rsidRPr="007E0EF8" w:rsidRDefault="0088616A" w:rsidP="002053BE">
      <w:pPr>
        <w:tabs>
          <w:tab w:val="left" w:pos="3336"/>
        </w:tabs>
        <w:jc w:val="both"/>
        <w:rPr>
          <w:rFonts w:asciiTheme="majorHAnsi" w:hAnsiTheme="majorHAnsi" w:cstheme="majorHAnsi"/>
          <w:lang w:val="fr-FR"/>
        </w:rPr>
      </w:pPr>
    </w:p>
    <w:p w14:paraId="0E2303B7" w14:textId="131E6E21" w:rsidR="002F4BAC" w:rsidRPr="00E94EA4" w:rsidRDefault="002F4BAC" w:rsidP="00E94EA4">
      <w:pPr>
        <w:pStyle w:val="ListParagraph"/>
        <w:numPr>
          <w:ilvl w:val="0"/>
          <w:numId w:val="18"/>
        </w:numPr>
        <w:tabs>
          <w:tab w:val="left" w:pos="3336"/>
        </w:tabs>
        <w:jc w:val="both"/>
        <w:rPr>
          <w:rFonts w:asciiTheme="majorHAnsi" w:hAnsiTheme="majorHAnsi" w:cstheme="majorHAnsi"/>
          <w:b/>
          <w:u w:val="single"/>
          <w:lang w:val="fr-FR"/>
        </w:rPr>
      </w:pPr>
      <w:r w:rsidRPr="00E94EA4">
        <w:rPr>
          <w:rFonts w:asciiTheme="majorHAnsi" w:hAnsiTheme="majorHAnsi" w:cstheme="majorHAnsi"/>
          <w:b/>
          <w:u w:val="single"/>
          <w:lang w:val="fr-FR"/>
        </w:rPr>
        <w:t>Art</w:t>
      </w:r>
      <w:r w:rsidR="00C431A5">
        <w:rPr>
          <w:rFonts w:asciiTheme="majorHAnsi" w:hAnsiTheme="majorHAnsi" w:cstheme="majorHAnsi"/>
          <w:b/>
          <w:u w:val="single"/>
          <w:lang w:val="fr-FR"/>
        </w:rPr>
        <w:t>.</w:t>
      </w:r>
      <w:r w:rsidRPr="00E94EA4">
        <w:rPr>
          <w:rFonts w:asciiTheme="majorHAnsi" w:hAnsiTheme="majorHAnsi" w:cstheme="majorHAnsi"/>
          <w:b/>
          <w:u w:val="single"/>
          <w:lang w:val="fr-FR"/>
        </w:rPr>
        <w:t xml:space="preserve"> 63</w:t>
      </w:r>
      <w:r w:rsidR="00BF4366" w:rsidRPr="00E94EA4">
        <w:rPr>
          <w:rFonts w:asciiTheme="majorHAnsi" w:hAnsiTheme="majorHAnsi" w:cstheme="majorHAnsi"/>
          <w:b/>
          <w:u w:val="single"/>
          <w:lang w:val="fr-FR"/>
        </w:rPr>
        <w:t xml:space="preserve"> – S</w:t>
      </w:r>
      <w:r w:rsidR="002053BE" w:rsidRPr="00E94EA4">
        <w:rPr>
          <w:rFonts w:asciiTheme="majorHAnsi" w:hAnsiTheme="majorHAnsi" w:cstheme="majorHAnsi"/>
          <w:b/>
          <w:u w:val="single"/>
          <w:lang w:val="fr-FR"/>
        </w:rPr>
        <w:t>urfaces nettes</w:t>
      </w:r>
    </w:p>
    <w:p w14:paraId="1C59DD4E" w14:textId="69A09C24" w:rsidR="00BF4366" w:rsidRPr="009102BA" w:rsidRDefault="00BF4366" w:rsidP="00AC045E">
      <w:pPr>
        <w:tabs>
          <w:tab w:val="left" w:pos="3336"/>
        </w:tabs>
        <w:jc w:val="both"/>
        <w:rPr>
          <w:rFonts w:asciiTheme="majorHAnsi" w:hAnsiTheme="majorHAnsi" w:cstheme="majorHAnsi"/>
          <w:lang w:val="fr-FR"/>
        </w:rPr>
      </w:pPr>
      <w:r w:rsidRPr="009102BA">
        <w:rPr>
          <w:rFonts w:asciiTheme="majorHAnsi" w:hAnsiTheme="majorHAnsi" w:cstheme="majorHAnsi"/>
          <w:lang w:val="fr-FR"/>
        </w:rPr>
        <w:t>Cette disposition est complétée par un nouvel alinéa 7.</w:t>
      </w:r>
    </w:p>
    <w:p w14:paraId="548B0068" w14:textId="2FEE4C5E" w:rsidR="006F46E0" w:rsidRPr="009102BA" w:rsidRDefault="009102BA" w:rsidP="00AC045E">
      <w:pPr>
        <w:tabs>
          <w:tab w:val="left" w:pos="3336"/>
        </w:tabs>
        <w:jc w:val="both"/>
        <w:rPr>
          <w:rFonts w:asciiTheme="majorHAnsi" w:hAnsiTheme="majorHAnsi" w:cstheme="majorHAnsi"/>
          <w:i/>
          <w:lang w:val="fr-FR"/>
        </w:rPr>
      </w:pPr>
      <w:r>
        <w:rPr>
          <w:rFonts w:asciiTheme="majorHAnsi" w:hAnsiTheme="majorHAnsi" w:cstheme="majorHAnsi"/>
          <w:i/>
          <w:lang w:val="fr-FR"/>
        </w:rPr>
        <w:t>« </w:t>
      </w:r>
      <w:r w:rsidR="00BF4366" w:rsidRPr="009102BA">
        <w:rPr>
          <w:rFonts w:asciiTheme="majorHAnsi" w:hAnsiTheme="majorHAnsi" w:cstheme="majorHAnsi"/>
          <w:i/>
          <w:lang w:val="fr-FR"/>
        </w:rPr>
        <w:t>Le présent article ne s’applique pas en</w:t>
      </w:r>
      <w:r>
        <w:rPr>
          <w:rFonts w:asciiTheme="majorHAnsi" w:hAnsiTheme="majorHAnsi" w:cstheme="majorHAnsi"/>
          <w:i/>
          <w:lang w:val="fr-FR"/>
        </w:rPr>
        <w:t xml:space="preserve"> matière d’habitations légères. »</w:t>
      </w:r>
      <w:r w:rsidR="002225ED">
        <w:rPr>
          <w:rFonts w:asciiTheme="majorHAnsi" w:hAnsiTheme="majorHAnsi" w:cstheme="majorHAnsi"/>
          <w:i/>
          <w:lang w:val="fr-FR"/>
        </w:rPr>
        <w:t>.</w:t>
      </w:r>
    </w:p>
    <w:p w14:paraId="0B5814E0" w14:textId="41498AA9" w:rsidR="002158DB" w:rsidRPr="007E0EF8" w:rsidRDefault="00F02AF4" w:rsidP="007057FE">
      <w:pPr>
        <w:tabs>
          <w:tab w:val="left" w:pos="3336"/>
        </w:tabs>
        <w:jc w:val="both"/>
        <w:rPr>
          <w:rFonts w:asciiTheme="majorHAnsi" w:hAnsiTheme="majorHAnsi" w:cstheme="majorHAnsi"/>
          <w:lang w:val="fr-FR"/>
        </w:rPr>
      </w:pPr>
      <w:r>
        <w:rPr>
          <w:rFonts w:asciiTheme="majorHAnsi" w:hAnsiTheme="majorHAnsi" w:cstheme="majorHAnsi"/>
          <w:lang w:val="fr-FR"/>
        </w:rPr>
        <w:br/>
      </w:r>
    </w:p>
    <w:p w14:paraId="1F5E1C12" w14:textId="77777777" w:rsidR="002158DB" w:rsidRPr="007E0EF8" w:rsidRDefault="002158DB" w:rsidP="00AC045E">
      <w:pPr>
        <w:tabs>
          <w:tab w:val="left" w:pos="3336"/>
        </w:tabs>
        <w:jc w:val="both"/>
        <w:rPr>
          <w:rFonts w:asciiTheme="majorHAnsi" w:hAnsiTheme="majorHAnsi" w:cstheme="majorHAnsi"/>
          <w:lang w:val="fr-FR"/>
        </w:rPr>
      </w:pPr>
    </w:p>
    <w:p w14:paraId="0E91E8B8" w14:textId="5F3F1876" w:rsidR="00567EF3" w:rsidRPr="00B170B7" w:rsidRDefault="00567EF3" w:rsidP="00B170B7">
      <w:pPr>
        <w:rPr>
          <w:rFonts w:asciiTheme="majorHAnsi" w:hAnsiTheme="majorHAnsi" w:cstheme="majorHAnsi"/>
          <w:b/>
          <w:u w:val="single"/>
          <w:lang w:val="fr-FR"/>
        </w:rPr>
      </w:pPr>
    </w:p>
    <w:sectPr w:rsidR="00567EF3" w:rsidRPr="00B170B7" w:rsidSect="00EB2C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11C7" w14:textId="77777777" w:rsidR="00AB6827" w:rsidRDefault="00AB6827" w:rsidP="00CA71DA">
      <w:pPr>
        <w:spacing w:after="0" w:line="240" w:lineRule="auto"/>
      </w:pPr>
      <w:r>
        <w:separator/>
      </w:r>
    </w:p>
  </w:endnote>
  <w:endnote w:type="continuationSeparator" w:id="0">
    <w:p w14:paraId="0BE826B7" w14:textId="77777777" w:rsidR="00AB6827" w:rsidRDefault="00AB6827" w:rsidP="00CA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7110" w14:textId="77777777" w:rsidR="00AB6827" w:rsidRDefault="00AB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47633"/>
      <w:docPartObj>
        <w:docPartGallery w:val="Page Numbers (Bottom of Page)"/>
        <w:docPartUnique/>
      </w:docPartObj>
    </w:sdtPr>
    <w:sdtEndPr>
      <w:rPr>
        <w:noProof/>
      </w:rPr>
    </w:sdtEndPr>
    <w:sdtContent>
      <w:p w14:paraId="18C34C47" w14:textId="4E4E0B00" w:rsidR="00AB6827" w:rsidRDefault="00AB6827">
        <w:pPr>
          <w:pStyle w:val="Footer"/>
          <w:jc w:val="right"/>
        </w:pPr>
        <w:r>
          <w:fldChar w:fldCharType="begin"/>
        </w:r>
        <w:r>
          <w:instrText xml:space="preserve"> PAGE   \* MERGEFORMAT </w:instrText>
        </w:r>
        <w:r>
          <w:fldChar w:fldCharType="separate"/>
        </w:r>
        <w:r w:rsidR="00B170B7">
          <w:rPr>
            <w:noProof/>
          </w:rPr>
          <w:t>2</w:t>
        </w:r>
        <w:r>
          <w:rPr>
            <w:noProof/>
          </w:rPr>
          <w:fldChar w:fldCharType="end"/>
        </w:r>
      </w:p>
    </w:sdtContent>
  </w:sdt>
  <w:p w14:paraId="17521058" w14:textId="77777777" w:rsidR="00AB6827" w:rsidRDefault="00AB6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B6D3" w14:textId="77777777" w:rsidR="00AB6827" w:rsidRDefault="00AB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13C3" w14:textId="77777777" w:rsidR="00AB6827" w:rsidRDefault="00AB6827" w:rsidP="00CA71DA">
      <w:pPr>
        <w:spacing w:after="0" w:line="240" w:lineRule="auto"/>
      </w:pPr>
      <w:r>
        <w:separator/>
      </w:r>
    </w:p>
  </w:footnote>
  <w:footnote w:type="continuationSeparator" w:id="0">
    <w:p w14:paraId="348F33AE" w14:textId="77777777" w:rsidR="00AB6827" w:rsidRDefault="00AB6827" w:rsidP="00CA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C5AC" w14:textId="77777777" w:rsidR="00AB6827" w:rsidRDefault="00AB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8914" w14:textId="65E80B91" w:rsidR="00AB6827" w:rsidRDefault="00AB6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84D6" w14:textId="77777777" w:rsidR="00AB6827" w:rsidRDefault="00AB6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C3"/>
    <w:multiLevelType w:val="hybridMultilevel"/>
    <w:tmpl w:val="03682BF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6E6"/>
    <w:multiLevelType w:val="hybridMultilevel"/>
    <w:tmpl w:val="B9B612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8FD"/>
    <w:multiLevelType w:val="hybridMultilevel"/>
    <w:tmpl w:val="7E5E5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4D7"/>
    <w:multiLevelType w:val="hybridMultilevel"/>
    <w:tmpl w:val="C2420A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9584D"/>
    <w:multiLevelType w:val="hybridMultilevel"/>
    <w:tmpl w:val="89B67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71676"/>
    <w:multiLevelType w:val="hybridMultilevel"/>
    <w:tmpl w:val="9230A864"/>
    <w:lvl w:ilvl="0" w:tplc="4B6A9DB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3630"/>
    <w:multiLevelType w:val="hybridMultilevel"/>
    <w:tmpl w:val="6272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541D7"/>
    <w:multiLevelType w:val="hybridMultilevel"/>
    <w:tmpl w:val="2B76B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F66D6"/>
    <w:multiLevelType w:val="hybridMultilevel"/>
    <w:tmpl w:val="57DE4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B6779"/>
    <w:multiLevelType w:val="hybridMultilevel"/>
    <w:tmpl w:val="60864DA4"/>
    <w:lvl w:ilvl="0" w:tplc="1540A6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E2427"/>
    <w:multiLevelType w:val="hybridMultilevel"/>
    <w:tmpl w:val="38487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96AAB"/>
    <w:multiLevelType w:val="hybridMultilevel"/>
    <w:tmpl w:val="E0DE4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76F58"/>
    <w:multiLevelType w:val="hybridMultilevel"/>
    <w:tmpl w:val="106C8184"/>
    <w:lvl w:ilvl="0" w:tplc="9724D8A6">
      <w:numFmt w:val="bullet"/>
      <w:lvlText w:val=""/>
      <w:lvlJc w:val="left"/>
      <w:pPr>
        <w:ind w:left="720" w:hanging="360"/>
      </w:pPr>
      <w:rPr>
        <w:rFonts w:ascii="Wingdings" w:eastAsiaTheme="minorHAnsi" w:hAnsi="Wingdings"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FDD694E"/>
    <w:multiLevelType w:val="hybridMultilevel"/>
    <w:tmpl w:val="F7922F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2132"/>
    <w:multiLevelType w:val="hybridMultilevel"/>
    <w:tmpl w:val="88D6F4E8"/>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901A7"/>
    <w:multiLevelType w:val="hybridMultilevel"/>
    <w:tmpl w:val="1D7C7322"/>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64B58"/>
    <w:multiLevelType w:val="hybridMultilevel"/>
    <w:tmpl w:val="EF74F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B3FA1"/>
    <w:multiLevelType w:val="hybridMultilevel"/>
    <w:tmpl w:val="A8180AE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A6D90"/>
    <w:multiLevelType w:val="hybridMultilevel"/>
    <w:tmpl w:val="DB8880B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0"/>
  </w:num>
  <w:num w:numId="5">
    <w:abstractNumId w:val="10"/>
  </w:num>
  <w:num w:numId="6">
    <w:abstractNumId w:val="1"/>
  </w:num>
  <w:num w:numId="7">
    <w:abstractNumId w:val="2"/>
  </w:num>
  <w:num w:numId="8">
    <w:abstractNumId w:val="5"/>
  </w:num>
  <w:num w:numId="9">
    <w:abstractNumId w:val="11"/>
  </w:num>
  <w:num w:numId="10">
    <w:abstractNumId w:val="6"/>
  </w:num>
  <w:num w:numId="11">
    <w:abstractNumId w:val="16"/>
  </w:num>
  <w:num w:numId="12">
    <w:abstractNumId w:val="17"/>
  </w:num>
  <w:num w:numId="13">
    <w:abstractNumId w:val="3"/>
  </w:num>
  <w:num w:numId="14">
    <w:abstractNumId w:val="14"/>
  </w:num>
  <w:num w:numId="15">
    <w:abstractNumId w:val="13"/>
  </w:num>
  <w:num w:numId="16">
    <w:abstractNumId w:val="4"/>
  </w:num>
  <w:num w:numId="17">
    <w:abstractNumId w:val="1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4"/>
    <w:rsid w:val="00000F55"/>
    <w:rsid w:val="00002130"/>
    <w:rsid w:val="00003484"/>
    <w:rsid w:val="0000488A"/>
    <w:rsid w:val="00004BBA"/>
    <w:rsid w:val="000059AF"/>
    <w:rsid w:val="00007037"/>
    <w:rsid w:val="0001354D"/>
    <w:rsid w:val="00015046"/>
    <w:rsid w:val="00017C09"/>
    <w:rsid w:val="00017DEB"/>
    <w:rsid w:val="00030C3B"/>
    <w:rsid w:val="00033686"/>
    <w:rsid w:val="00035B92"/>
    <w:rsid w:val="0003690E"/>
    <w:rsid w:val="00040907"/>
    <w:rsid w:val="000433C8"/>
    <w:rsid w:val="000504C0"/>
    <w:rsid w:val="000505F7"/>
    <w:rsid w:val="00054EA8"/>
    <w:rsid w:val="000621A2"/>
    <w:rsid w:val="00062F51"/>
    <w:rsid w:val="00065B41"/>
    <w:rsid w:val="00066B81"/>
    <w:rsid w:val="000742C9"/>
    <w:rsid w:val="000877FF"/>
    <w:rsid w:val="00087F2C"/>
    <w:rsid w:val="00090344"/>
    <w:rsid w:val="000911D0"/>
    <w:rsid w:val="000919F1"/>
    <w:rsid w:val="00091FB6"/>
    <w:rsid w:val="0009382E"/>
    <w:rsid w:val="0009456D"/>
    <w:rsid w:val="0009553C"/>
    <w:rsid w:val="000956CC"/>
    <w:rsid w:val="00095E33"/>
    <w:rsid w:val="000966EC"/>
    <w:rsid w:val="000A06B8"/>
    <w:rsid w:val="000A22E1"/>
    <w:rsid w:val="000A3C59"/>
    <w:rsid w:val="000A3FC5"/>
    <w:rsid w:val="000A61E3"/>
    <w:rsid w:val="000B13BF"/>
    <w:rsid w:val="000B1B9B"/>
    <w:rsid w:val="000B2FB5"/>
    <w:rsid w:val="000B6554"/>
    <w:rsid w:val="000C2AA9"/>
    <w:rsid w:val="000C3B32"/>
    <w:rsid w:val="000C4AD0"/>
    <w:rsid w:val="000C7C58"/>
    <w:rsid w:val="000D095D"/>
    <w:rsid w:val="000D3595"/>
    <w:rsid w:val="000D4F65"/>
    <w:rsid w:val="000D57FB"/>
    <w:rsid w:val="000D72D1"/>
    <w:rsid w:val="000E06B7"/>
    <w:rsid w:val="000F2289"/>
    <w:rsid w:val="000F2341"/>
    <w:rsid w:val="000F40C7"/>
    <w:rsid w:val="00104104"/>
    <w:rsid w:val="00106862"/>
    <w:rsid w:val="00110E92"/>
    <w:rsid w:val="00111D87"/>
    <w:rsid w:val="0011272A"/>
    <w:rsid w:val="0011287B"/>
    <w:rsid w:val="0011340E"/>
    <w:rsid w:val="001203A3"/>
    <w:rsid w:val="00123508"/>
    <w:rsid w:val="00123693"/>
    <w:rsid w:val="00124C4D"/>
    <w:rsid w:val="00125CC6"/>
    <w:rsid w:val="00130D0D"/>
    <w:rsid w:val="00135E9D"/>
    <w:rsid w:val="00140059"/>
    <w:rsid w:val="001446C8"/>
    <w:rsid w:val="00146243"/>
    <w:rsid w:val="0014674D"/>
    <w:rsid w:val="00147FC9"/>
    <w:rsid w:val="001500DE"/>
    <w:rsid w:val="00151CCA"/>
    <w:rsid w:val="0015229F"/>
    <w:rsid w:val="00153BD5"/>
    <w:rsid w:val="001609C1"/>
    <w:rsid w:val="00160F9B"/>
    <w:rsid w:val="00161F1F"/>
    <w:rsid w:val="001664DC"/>
    <w:rsid w:val="00170FB7"/>
    <w:rsid w:val="00171793"/>
    <w:rsid w:val="00172CAE"/>
    <w:rsid w:val="001744CD"/>
    <w:rsid w:val="001840C6"/>
    <w:rsid w:val="001841C9"/>
    <w:rsid w:val="00190046"/>
    <w:rsid w:val="001923E8"/>
    <w:rsid w:val="00192799"/>
    <w:rsid w:val="0019409A"/>
    <w:rsid w:val="00197005"/>
    <w:rsid w:val="001A00E4"/>
    <w:rsid w:val="001A2920"/>
    <w:rsid w:val="001A33BA"/>
    <w:rsid w:val="001A5AFA"/>
    <w:rsid w:val="001A6DF6"/>
    <w:rsid w:val="001B2BC9"/>
    <w:rsid w:val="001B4186"/>
    <w:rsid w:val="001B5907"/>
    <w:rsid w:val="001C063C"/>
    <w:rsid w:val="001C3FF9"/>
    <w:rsid w:val="001C4F51"/>
    <w:rsid w:val="001C5DA8"/>
    <w:rsid w:val="001C7847"/>
    <w:rsid w:val="001C7AE4"/>
    <w:rsid w:val="001C7C1D"/>
    <w:rsid w:val="001D22E3"/>
    <w:rsid w:val="001E7973"/>
    <w:rsid w:val="001F0AEC"/>
    <w:rsid w:val="001F25E4"/>
    <w:rsid w:val="001F2615"/>
    <w:rsid w:val="001F366E"/>
    <w:rsid w:val="001F4DEE"/>
    <w:rsid w:val="001F6B2A"/>
    <w:rsid w:val="00200483"/>
    <w:rsid w:val="002009C3"/>
    <w:rsid w:val="0020462D"/>
    <w:rsid w:val="0020514D"/>
    <w:rsid w:val="002053BE"/>
    <w:rsid w:val="00211376"/>
    <w:rsid w:val="00211923"/>
    <w:rsid w:val="00213C5B"/>
    <w:rsid w:val="002158DB"/>
    <w:rsid w:val="002225ED"/>
    <w:rsid w:val="00222D0E"/>
    <w:rsid w:val="002245AA"/>
    <w:rsid w:val="00225249"/>
    <w:rsid w:val="00227815"/>
    <w:rsid w:val="002307FB"/>
    <w:rsid w:val="002335DB"/>
    <w:rsid w:val="002340D8"/>
    <w:rsid w:val="00235BC9"/>
    <w:rsid w:val="002369F5"/>
    <w:rsid w:val="002377A6"/>
    <w:rsid w:val="002378F6"/>
    <w:rsid w:val="00241A86"/>
    <w:rsid w:val="00242B61"/>
    <w:rsid w:val="002479B1"/>
    <w:rsid w:val="00254801"/>
    <w:rsid w:val="00262484"/>
    <w:rsid w:val="00262BFC"/>
    <w:rsid w:val="00262E0E"/>
    <w:rsid w:val="00264C26"/>
    <w:rsid w:val="002650D9"/>
    <w:rsid w:val="002652C2"/>
    <w:rsid w:val="0026713F"/>
    <w:rsid w:val="00272349"/>
    <w:rsid w:val="00272CED"/>
    <w:rsid w:val="00277F75"/>
    <w:rsid w:val="00290366"/>
    <w:rsid w:val="0029053F"/>
    <w:rsid w:val="00290928"/>
    <w:rsid w:val="00290AC8"/>
    <w:rsid w:val="00291E54"/>
    <w:rsid w:val="002925AE"/>
    <w:rsid w:val="00293365"/>
    <w:rsid w:val="00293F30"/>
    <w:rsid w:val="00294EB3"/>
    <w:rsid w:val="00297077"/>
    <w:rsid w:val="002976D8"/>
    <w:rsid w:val="002A0A1D"/>
    <w:rsid w:val="002A5C87"/>
    <w:rsid w:val="002B1718"/>
    <w:rsid w:val="002B2379"/>
    <w:rsid w:val="002B3434"/>
    <w:rsid w:val="002B5C9C"/>
    <w:rsid w:val="002C1F4C"/>
    <w:rsid w:val="002C699A"/>
    <w:rsid w:val="002D2AF9"/>
    <w:rsid w:val="002D32D0"/>
    <w:rsid w:val="002D608B"/>
    <w:rsid w:val="002D779E"/>
    <w:rsid w:val="002E160B"/>
    <w:rsid w:val="002E1F9C"/>
    <w:rsid w:val="002E3FBB"/>
    <w:rsid w:val="002E6AF1"/>
    <w:rsid w:val="002F25FB"/>
    <w:rsid w:val="002F4BAC"/>
    <w:rsid w:val="002F6049"/>
    <w:rsid w:val="00301BB2"/>
    <w:rsid w:val="00302F91"/>
    <w:rsid w:val="003036C6"/>
    <w:rsid w:val="003039F7"/>
    <w:rsid w:val="00304CD4"/>
    <w:rsid w:val="00307BF7"/>
    <w:rsid w:val="00310FEC"/>
    <w:rsid w:val="0031144D"/>
    <w:rsid w:val="0031291A"/>
    <w:rsid w:val="00314B39"/>
    <w:rsid w:val="0031760A"/>
    <w:rsid w:val="00320861"/>
    <w:rsid w:val="00323424"/>
    <w:rsid w:val="00325562"/>
    <w:rsid w:val="0033144E"/>
    <w:rsid w:val="003342BE"/>
    <w:rsid w:val="00335E32"/>
    <w:rsid w:val="00343676"/>
    <w:rsid w:val="003439FF"/>
    <w:rsid w:val="00347E11"/>
    <w:rsid w:val="003524ED"/>
    <w:rsid w:val="003528C2"/>
    <w:rsid w:val="00360397"/>
    <w:rsid w:val="0036262C"/>
    <w:rsid w:val="0036607E"/>
    <w:rsid w:val="00367011"/>
    <w:rsid w:val="0037351F"/>
    <w:rsid w:val="00374914"/>
    <w:rsid w:val="00377C8D"/>
    <w:rsid w:val="00380E63"/>
    <w:rsid w:val="00382143"/>
    <w:rsid w:val="00384DA0"/>
    <w:rsid w:val="003862F2"/>
    <w:rsid w:val="00386DC2"/>
    <w:rsid w:val="003910E0"/>
    <w:rsid w:val="00393DCC"/>
    <w:rsid w:val="003947E6"/>
    <w:rsid w:val="003A1504"/>
    <w:rsid w:val="003A464D"/>
    <w:rsid w:val="003A59BC"/>
    <w:rsid w:val="003A62E8"/>
    <w:rsid w:val="003A7C1C"/>
    <w:rsid w:val="003B1D95"/>
    <w:rsid w:val="003B32F8"/>
    <w:rsid w:val="003B3A46"/>
    <w:rsid w:val="003C2989"/>
    <w:rsid w:val="003C7040"/>
    <w:rsid w:val="003D5066"/>
    <w:rsid w:val="003D5882"/>
    <w:rsid w:val="003D5F14"/>
    <w:rsid w:val="003D6265"/>
    <w:rsid w:val="003D74FF"/>
    <w:rsid w:val="003E2CA9"/>
    <w:rsid w:val="003E6390"/>
    <w:rsid w:val="003F2568"/>
    <w:rsid w:val="004011BC"/>
    <w:rsid w:val="004036EE"/>
    <w:rsid w:val="004039E6"/>
    <w:rsid w:val="00410088"/>
    <w:rsid w:val="00410912"/>
    <w:rsid w:val="00410FE8"/>
    <w:rsid w:val="004113B2"/>
    <w:rsid w:val="00424F20"/>
    <w:rsid w:val="004306CC"/>
    <w:rsid w:val="00434AED"/>
    <w:rsid w:val="00436CFE"/>
    <w:rsid w:val="004406E3"/>
    <w:rsid w:val="0044342A"/>
    <w:rsid w:val="004560E2"/>
    <w:rsid w:val="00461C1B"/>
    <w:rsid w:val="004660F3"/>
    <w:rsid w:val="00466DFF"/>
    <w:rsid w:val="0047322F"/>
    <w:rsid w:val="0047539D"/>
    <w:rsid w:val="00477FCD"/>
    <w:rsid w:val="00482981"/>
    <w:rsid w:val="00490712"/>
    <w:rsid w:val="00491194"/>
    <w:rsid w:val="004914A7"/>
    <w:rsid w:val="004953F2"/>
    <w:rsid w:val="004A319F"/>
    <w:rsid w:val="004A40AD"/>
    <w:rsid w:val="004A7AE8"/>
    <w:rsid w:val="004B655C"/>
    <w:rsid w:val="004B71C8"/>
    <w:rsid w:val="004C2743"/>
    <w:rsid w:val="004C673C"/>
    <w:rsid w:val="004D021C"/>
    <w:rsid w:val="004D3638"/>
    <w:rsid w:val="004D37B3"/>
    <w:rsid w:val="004D3934"/>
    <w:rsid w:val="004D68A9"/>
    <w:rsid w:val="004D6B4F"/>
    <w:rsid w:val="004D7444"/>
    <w:rsid w:val="004E0664"/>
    <w:rsid w:val="004E2EA1"/>
    <w:rsid w:val="004E44C3"/>
    <w:rsid w:val="004E7181"/>
    <w:rsid w:val="004F1B69"/>
    <w:rsid w:val="004F1E0B"/>
    <w:rsid w:val="004F3977"/>
    <w:rsid w:val="004F783C"/>
    <w:rsid w:val="0050216F"/>
    <w:rsid w:val="005027A5"/>
    <w:rsid w:val="005031BA"/>
    <w:rsid w:val="005031D3"/>
    <w:rsid w:val="00503272"/>
    <w:rsid w:val="00504B7C"/>
    <w:rsid w:val="00506B68"/>
    <w:rsid w:val="00511052"/>
    <w:rsid w:val="005112C1"/>
    <w:rsid w:val="00511782"/>
    <w:rsid w:val="00511CFE"/>
    <w:rsid w:val="00512D23"/>
    <w:rsid w:val="00517F04"/>
    <w:rsid w:val="00524CF7"/>
    <w:rsid w:val="0052565F"/>
    <w:rsid w:val="00525817"/>
    <w:rsid w:val="00525EEA"/>
    <w:rsid w:val="00526588"/>
    <w:rsid w:val="00527FE6"/>
    <w:rsid w:val="005312B0"/>
    <w:rsid w:val="005318FD"/>
    <w:rsid w:val="00531B92"/>
    <w:rsid w:val="00533266"/>
    <w:rsid w:val="00534356"/>
    <w:rsid w:val="005357EC"/>
    <w:rsid w:val="00536115"/>
    <w:rsid w:val="00536CCF"/>
    <w:rsid w:val="00542F26"/>
    <w:rsid w:val="005462CD"/>
    <w:rsid w:val="00546D42"/>
    <w:rsid w:val="005472CD"/>
    <w:rsid w:val="005548C3"/>
    <w:rsid w:val="00554E58"/>
    <w:rsid w:val="00556FEC"/>
    <w:rsid w:val="00562535"/>
    <w:rsid w:val="00562B41"/>
    <w:rsid w:val="005660EF"/>
    <w:rsid w:val="00567EF3"/>
    <w:rsid w:val="00571831"/>
    <w:rsid w:val="005750AC"/>
    <w:rsid w:val="005751C0"/>
    <w:rsid w:val="00581F1C"/>
    <w:rsid w:val="0058296C"/>
    <w:rsid w:val="0058312D"/>
    <w:rsid w:val="00585D16"/>
    <w:rsid w:val="005925F6"/>
    <w:rsid w:val="0059763F"/>
    <w:rsid w:val="00597DC0"/>
    <w:rsid w:val="005A1FC4"/>
    <w:rsid w:val="005A2834"/>
    <w:rsid w:val="005A3ECB"/>
    <w:rsid w:val="005A5F3D"/>
    <w:rsid w:val="005B165D"/>
    <w:rsid w:val="005B349E"/>
    <w:rsid w:val="005B7A42"/>
    <w:rsid w:val="005C134A"/>
    <w:rsid w:val="005C1F42"/>
    <w:rsid w:val="005C2243"/>
    <w:rsid w:val="005C2682"/>
    <w:rsid w:val="005C43D7"/>
    <w:rsid w:val="005C4BA9"/>
    <w:rsid w:val="005D296A"/>
    <w:rsid w:val="005D63BB"/>
    <w:rsid w:val="005E15F1"/>
    <w:rsid w:val="005E778B"/>
    <w:rsid w:val="005F3A09"/>
    <w:rsid w:val="005F492D"/>
    <w:rsid w:val="005F6FBB"/>
    <w:rsid w:val="005F7D03"/>
    <w:rsid w:val="00601708"/>
    <w:rsid w:val="006018C7"/>
    <w:rsid w:val="006027E9"/>
    <w:rsid w:val="00603169"/>
    <w:rsid w:val="00604D2C"/>
    <w:rsid w:val="006067BE"/>
    <w:rsid w:val="00610FF5"/>
    <w:rsid w:val="00611E12"/>
    <w:rsid w:val="006121E1"/>
    <w:rsid w:val="00614647"/>
    <w:rsid w:val="00614CC2"/>
    <w:rsid w:val="00616FB2"/>
    <w:rsid w:val="00622C3D"/>
    <w:rsid w:val="00622DE3"/>
    <w:rsid w:val="00623AA1"/>
    <w:rsid w:val="0062589C"/>
    <w:rsid w:val="00633102"/>
    <w:rsid w:val="006427A1"/>
    <w:rsid w:val="00642E90"/>
    <w:rsid w:val="006458AB"/>
    <w:rsid w:val="00646B77"/>
    <w:rsid w:val="0064788C"/>
    <w:rsid w:val="006503B8"/>
    <w:rsid w:val="00651014"/>
    <w:rsid w:val="00651B4D"/>
    <w:rsid w:val="00654E8C"/>
    <w:rsid w:val="00660B6C"/>
    <w:rsid w:val="0066425E"/>
    <w:rsid w:val="006651F5"/>
    <w:rsid w:val="00666689"/>
    <w:rsid w:val="00674F88"/>
    <w:rsid w:val="00682CB0"/>
    <w:rsid w:val="00685CBD"/>
    <w:rsid w:val="00692913"/>
    <w:rsid w:val="006942A5"/>
    <w:rsid w:val="006962E5"/>
    <w:rsid w:val="006966F0"/>
    <w:rsid w:val="006A1C8F"/>
    <w:rsid w:val="006A1DEB"/>
    <w:rsid w:val="006A31CB"/>
    <w:rsid w:val="006A74AE"/>
    <w:rsid w:val="006B0CBF"/>
    <w:rsid w:val="006B1EF1"/>
    <w:rsid w:val="006B37E5"/>
    <w:rsid w:val="006B3CCE"/>
    <w:rsid w:val="006B64F4"/>
    <w:rsid w:val="006C0003"/>
    <w:rsid w:val="006C062E"/>
    <w:rsid w:val="006C2120"/>
    <w:rsid w:val="006C22CE"/>
    <w:rsid w:val="006C7048"/>
    <w:rsid w:val="006C717D"/>
    <w:rsid w:val="006C7338"/>
    <w:rsid w:val="006D51E1"/>
    <w:rsid w:val="006D59E1"/>
    <w:rsid w:val="006D6175"/>
    <w:rsid w:val="006E137B"/>
    <w:rsid w:val="006E246B"/>
    <w:rsid w:val="006E44A6"/>
    <w:rsid w:val="006F1F9A"/>
    <w:rsid w:val="006F46E0"/>
    <w:rsid w:val="006F4E6A"/>
    <w:rsid w:val="006F5692"/>
    <w:rsid w:val="006F7DCD"/>
    <w:rsid w:val="00701798"/>
    <w:rsid w:val="00704A17"/>
    <w:rsid w:val="007057FE"/>
    <w:rsid w:val="00706255"/>
    <w:rsid w:val="00707764"/>
    <w:rsid w:val="00711632"/>
    <w:rsid w:val="00711D86"/>
    <w:rsid w:val="00712C65"/>
    <w:rsid w:val="00713189"/>
    <w:rsid w:val="0072057E"/>
    <w:rsid w:val="00721596"/>
    <w:rsid w:val="00724B91"/>
    <w:rsid w:val="00725D69"/>
    <w:rsid w:val="00727A84"/>
    <w:rsid w:val="0073113A"/>
    <w:rsid w:val="00732AD9"/>
    <w:rsid w:val="007330C0"/>
    <w:rsid w:val="00736BD1"/>
    <w:rsid w:val="007452B8"/>
    <w:rsid w:val="00745C1F"/>
    <w:rsid w:val="007470C7"/>
    <w:rsid w:val="00753A78"/>
    <w:rsid w:val="00755C17"/>
    <w:rsid w:val="00757346"/>
    <w:rsid w:val="0075765C"/>
    <w:rsid w:val="007610FB"/>
    <w:rsid w:val="0076125F"/>
    <w:rsid w:val="007644AD"/>
    <w:rsid w:val="0076644A"/>
    <w:rsid w:val="00766AE4"/>
    <w:rsid w:val="00770FC1"/>
    <w:rsid w:val="007717EF"/>
    <w:rsid w:val="00773E5B"/>
    <w:rsid w:val="00782AA9"/>
    <w:rsid w:val="00787AB7"/>
    <w:rsid w:val="00791ED9"/>
    <w:rsid w:val="00792257"/>
    <w:rsid w:val="007934F8"/>
    <w:rsid w:val="00797078"/>
    <w:rsid w:val="007977D7"/>
    <w:rsid w:val="007A00DA"/>
    <w:rsid w:val="007A0953"/>
    <w:rsid w:val="007A2642"/>
    <w:rsid w:val="007A49DF"/>
    <w:rsid w:val="007B12D2"/>
    <w:rsid w:val="007B2A22"/>
    <w:rsid w:val="007B414C"/>
    <w:rsid w:val="007C4F88"/>
    <w:rsid w:val="007C63F4"/>
    <w:rsid w:val="007D3D11"/>
    <w:rsid w:val="007D5BA6"/>
    <w:rsid w:val="007E0EF8"/>
    <w:rsid w:val="007E100D"/>
    <w:rsid w:val="007E1061"/>
    <w:rsid w:val="007E4AB8"/>
    <w:rsid w:val="007E4DC0"/>
    <w:rsid w:val="007F0EE3"/>
    <w:rsid w:val="007F1D0B"/>
    <w:rsid w:val="007F7602"/>
    <w:rsid w:val="00800D47"/>
    <w:rsid w:val="00807472"/>
    <w:rsid w:val="008158E5"/>
    <w:rsid w:val="00820059"/>
    <w:rsid w:val="00820438"/>
    <w:rsid w:val="0082119C"/>
    <w:rsid w:val="0082637E"/>
    <w:rsid w:val="00831BF1"/>
    <w:rsid w:val="00834AD1"/>
    <w:rsid w:val="00841948"/>
    <w:rsid w:val="00841B81"/>
    <w:rsid w:val="00842A2D"/>
    <w:rsid w:val="0085006E"/>
    <w:rsid w:val="00853E47"/>
    <w:rsid w:val="008542E9"/>
    <w:rsid w:val="008576A1"/>
    <w:rsid w:val="00860EE0"/>
    <w:rsid w:val="00861213"/>
    <w:rsid w:val="00861CF0"/>
    <w:rsid w:val="0086264B"/>
    <w:rsid w:val="00863115"/>
    <w:rsid w:val="00864828"/>
    <w:rsid w:val="00865C46"/>
    <w:rsid w:val="008671BE"/>
    <w:rsid w:val="00874963"/>
    <w:rsid w:val="00876C3F"/>
    <w:rsid w:val="00876E96"/>
    <w:rsid w:val="00880532"/>
    <w:rsid w:val="00884038"/>
    <w:rsid w:val="0088616A"/>
    <w:rsid w:val="00887742"/>
    <w:rsid w:val="008929BA"/>
    <w:rsid w:val="00893FCC"/>
    <w:rsid w:val="0089487F"/>
    <w:rsid w:val="00896953"/>
    <w:rsid w:val="008A3D50"/>
    <w:rsid w:val="008A5564"/>
    <w:rsid w:val="008A58CE"/>
    <w:rsid w:val="008B2DE8"/>
    <w:rsid w:val="008B462E"/>
    <w:rsid w:val="008B5DFB"/>
    <w:rsid w:val="008B6FA1"/>
    <w:rsid w:val="008C1E4D"/>
    <w:rsid w:val="008C37D7"/>
    <w:rsid w:val="008C4AE8"/>
    <w:rsid w:val="008C6387"/>
    <w:rsid w:val="008D134C"/>
    <w:rsid w:val="008D3A3E"/>
    <w:rsid w:val="008D3EFC"/>
    <w:rsid w:val="008D40EB"/>
    <w:rsid w:val="008D57E6"/>
    <w:rsid w:val="008D5EF1"/>
    <w:rsid w:val="008E6FE1"/>
    <w:rsid w:val="008E6FE5"/>
    <w:rsid w:val="008F24ED"/>
    <w:rsid w:val="008F4C98"/>
    <w:rsid w:val="008F7B67"/>
    <w:rsid w:val="00900ED0"/>
    <w:rsid w:val="00904C11"/>
    <w:rsid w:val="009102BA"/>
    <w:rsid w:val="00910F61"/>
    <w:rsid w:val="00913C74"/>
    <w:rsid w:val="00916EA6"/>
    <w:rsid w:val="00923EB6"/>
    <w:rsid w:val="0092534A"/>
    <w:rsid w:val="00931A35"/>
    <w:rsid w:val="0093435F"/>
    <w:rsid w:val="00935365"/>
    <w:rsid w:val="00944CE1"/>
    <w:rsid w:val="009451CA"/>
    <w:rsid w:val="009543BE"/>
    <w:rsid w:val="00955579"/>
    <w:rsid w:val="00955CBC"/>
    <w:rsid w:val="0097331A"/>
    <w:rsid w:val="009737F0"/>
    <w:rsid w:val="00974614"/>
    <w:rsid w:val="0097462F"/>
    <w:rsid w:val="00982646"/>
    <w:rsid w:val="00982F2A"/>
    <w:rsid w:val="00982F58"/>
    <w:rsid w:val="00983AA1"/>
    <w:rsid w:val="0098734D"/>
    <w:rsid w:val="009919D5"/>
    <w:rsid w:val="0099211E"/>
    <w:rsid w:val="009970B8"/>
    <w:rsid w:val="009973CC"/>
    <w:rsid w:val="009A1BB9"/>
    <w:rsid w:val="009A5D13"/>
    <w:rsid w:val="009A6503"/>
    <w:rsid w:val="009A6E2B"/>
    <w:rsid w:val="009B19D0"/>
    <w:rsid w:val="009B2938"/>
    <w:rsid w:val="009B36F1"/>
    <w:rsid w:val="009B5795"/>
    <w:rsid w:val="009B738F"/>
    <w:rsid w:val="009B73BA"/>
    <w:rsid w:val="009B7A2B"/>
    <w:rsid w:val="009C2AF4"/>
    <w:rsid w:val="009D0971"/>
    <w:rsid w:val="009D0A6F"/>
    <w:rsid w:val="009D1FE6"/>
    <w:rsid w:val="009D208D"/>
    <w:rsid w:val="009D289A"/>
    <w:rsid w:val="009D45C1"/>
    <w:rsid w:val="009E0E6B"/>
    <w:rsid w:val="009E171F"/>
    <w:rsid w:val="009E45A9"/>
    <w:rsid w:val="009E48CE"/>
    <w:rsid w:val="009E4A64"/>
    <w:rsid w:val="009E4D69"/>
    <w:rsid w:val="009F15C3"/>
    <w:rsid w:val="009F548A"/>
    <w:rsid w:val="00A02D8F"/>
    <w:rsid w:val="00A02FEE"/>
    <w:rsid w:val="00A03E79"/>
    <w:rsid w:val="00A04110"/>
    <w:rsid w:val="00A07CE2"/>
    <w:rsid w:val="00A1574B"/>
    <w:rsid w:val="00A2017F"/>
    <w:rsid w:val="00A21250"/>
    <w:rsid w:val="00A244E0"/>
    <w:rsid w:val="00A24B48"/>
    <w:rsid w:val="00A27801"/>
    <w:rsid w:val="00A30FE0"/>
    <w:rsid w:val="00A34585"/>
    <w:rsid w:val="00A354BE"/>
    <w:rsid w:val="00A36B23"/>
    <w:rsid w:val="00A408DD"/>
    <w:rsid w:val="00A42549"/>
    <w:rsid w:val="00A42958"/>
    <w:rsid w:val="00A42B71"/>
    <w:rsid w:val="00A43C2B"/>
    <w:rsid w:val="00A45626"/>
    <w:rsid w:val="00A45BC7"/>
    <w:rsid w:val="00A500BC"/>
    <w:rsid w:val="00A512D9"/>
    <w:rsid w:val="00A5366C"/>
    <w:rsid w:val="00A539D9"/>
    <w:rsid w:val="00A551A0"/>
    <w:rsid w:val="00A60519"/>
    <w:rsid w:val="00A60A41"/>
    <w:rsid w:val="00A701D2"/>
    <w:rsid w:val="00A729C1"/>
    <w:rsid w:val="00A742C7"/>
    <w:rsid w:val="00A77836"/>
    <w:rsid w:val="00A80C66"/>
    <w:rsid w:val="00A81CD2"/>
    <w:rsid w:val="00A82EA9"/>
    <w:rsid w:val="00A86F93"/>
    <w:rsid w:val="00A8728C"/>
    <w:rsid w:val="00A8787E"/>
    <w:rsid w:val="00A92C2E"/>
    <w:rsid w:val="00A92CCE"/>
    <w:rsid w:val="00A97A31"/>
    <w:rsid w:val="00AA0BF1"/>
    <w:rsid w:val="00AA2513"/>
    <w:rsid w:val="00AA3552"/>
    <w:rsid w:val="00AA40E5"/>
    <w:rsid w:val="00AB1E74"/>
    <w:rsid w:val="00AB2927"/>
    <w:rsid w:val="00AB4AE2"/>
    <w:rsid w:val="00AB576E"/>
    <w:rsid w:val="00AB6827"/>
    <w:rsid w:val="00AC045E"/>
    <w:rsid w:val="00AC2472"/>
    <w:rsid w:val="00AC274C"/>
    <w:rsid w:val="00AC3946"/>
    <w:rsid w:val="00AC7325"/>
    <w:rsid w:val="00AD085A"/>
    <w:rsid w:val="00AD2961"/>
    <w:rsid w:val="00AD2B40"/>
    <w:rsid w:val="00AD2F1D"/>
    <w:rsid w:val="00AD355A"/>
    <w:rsid w:val="00AE2E20"/>
    <w:rsid w:val="00AE42A2"/>
    <w:rsid w:val="00AF3FDC"/>
    <w:rsid w:val="00AF505C"/>
    <w:rsid w:val="00AF58BF"/>
    <w:rsid w:val="00AF7674"/>
    <w:rsid w:val="00B024E8"/>
    <w:rsid w:val="00B024EE"/>
    <w:rsid w:val="00B05260"/>
    <w:rsid w:val="00B06C59"/>
    <w:rsid w:val="00B11936"/>
    <w:rsid w:val="00B15FA8"/>
    <w:rsid w:val="00B170B7"/>
    <w:rsid w:val="00B23301"/>
    <w:rsid w:val="00B30149"/>
    <w:rsid w:val="00B301F5"/>
    <w:rsid w:val="00B33529"/>
    <w:rsid w:val="00B365DA"/>
    <w:rsid w:val="00B3725D"/>
    <w:rsid w:val="00B37379"/>
    <w:rsid w:val="00B42EDE"/>
    <w:rsid w:val="00B43A8A"/>
    <w:rsid w:val="00B43DBA"/>
    <w:rsid w:val="00B449F7"/>
    <w:rsid w:val="00B52A86"/>
    <w:rsid w:val="00B53301"/>
    <w:rsid w:val="00B53EEF"/>
    <w:rsid w:val="00B55BE0"/>
    <w:rsid w:val="00B56E10"/>
    <w:rsid w:val="00B57622"/>
    <w:rsid w:val="00B57E90"/>
    <w:rsid w:val="00B6098E"/>
    <w:rsid w:val="00B6375F"/>
    <w:rsid w:val="00B63BF5"/>
    <w:rsid w:val="00B63ECD"/>
    <w:rsid w:val="00B64D64"/>
    <w:rsid w:val="00B66378"/>
    <w:rsid w:val="00B6762A"/>
    <w:rsid w:val="00B76D66"/>
    <w:rsid w:val="00B81D11"/>
    <w:rsid w:val="00B82847"/>
    <w:rsid w:val="00B85229"/>
    <w:rsid w:val="00B86A20"/>
    <w:rsid w:val="00B86BE3"/>
    <w:rsid w:val="00B9074B"/>
    <w:rsid w:val="00B9142A"/>
    <w:rsid w:val="00B91D61"/>
    <w:rsid w:val="00B951D4"/>
    <w:rsid w:val="00B95E68"/>
    <w:rsid w:val="00B9675E"/>
    <w:rsid w:val="00B9733D"/>
    <w:rsid w:val="00BA0694"/>
    <w:rsid w:val="00BA4DFB"/>
    <w:rsid w:val="00BA5EEA"/>
    <w:rsid w:val="00BA777B"/>
    <w:rsid w:val="00BA7F23"/>
    <w:rsid w:val="00BB0F93"/>
    <w:rsid w:val="00BB201B"/>
    <w:rsid w:val="00BB3456"/>
    <w:rsid w:val="00BB6217"/>
    <w:rsid w:val="00BC023E"/>
    <w:rsid w:val="00BD48F7"/>
    <w:rsid w:val="00BD572E"/>
    <w:rsid w:val="00BD5A21"/>
    <w:rsid w:val="00BE074F"/>
    <w:rsid w:val="00BE1972"/>
    <w:rsid w:val="00BE5D5D"/>
    <w:rsid w:val="00BE6213"/>
    <w:rsid w:val="00BF1E78"/>
    <w:rsid w:val="00BF34EC"/>
    <w:rsid w:val="00BF350C"/>
    <w:rsid w:val="00BF36C7"/>
    <w:rsid w:val="00BF4366"/>
    <w:rsid w:val="00C0339B"/>
    <w:rsid w:val="00C04F4F"/>
    <w:rsid w:val="00C05851"/>
    <w:rsid w:val="00C063AC"/>
    <w:rsid w:val="00C16AF4"/>
    <w:rsid w:val="00C245A2"/>
    <w:rsid w:val="00C25E9A"/>
    <w:rsid w:val="00C30F56"/>
    <w:rsid w:val="00C34729"/>
    <w:rsid w:val="00C370CA"/>
    <w:rsid w:val="00C431A5"/>
    <w:rsid w:val="00C45F37"/>
    <w:rsid w:val="00C532A3"/>
    <w:rsid w:val="00C5482C"/>
    <w:rsid w:val="00C54EF4"/>
    <w:rsid w:val="00C56CD5"/>
    <w:rsid w:val="00C56FDA"/>
    <w:rsid w:val="00C6115E"/>
    <w:rsid w:val="00C61646"/>
    <w:rsid w:val="00C62699"/>
    <w:rsid w:val="00C628C3"/>
    <w:rsid w:val="00C6291B"/>
    <w:rsid w:val="00C63390"/>
    <w:rsid w:val="00C64090"/>
    <w:rsid w:val="00C640F6"/>
    <w:rsid w:val="00C655CB"/>
    <w:rsid w:val="00C720A1"/>
    <w:rsid w:val="00C74B08"/>
    <w:rsid w:val="00C84848"/>
    <w:rsid w:val="00C8538E"/>
    <w:rsid w:val="00C857A2"/>
    <w:rsid w:val="00C86A5E"/>
    <w:rsid w:val="00C90F94"/>
    <w:rsid w:val="00C91131"/>
    <w:rsid w:val="00C93FED"/>
    <w:rsid w:val="00C9464E"/>
    <w:rsid w:val="00C94A20"/>
    <w:rsid w:val="00C96068"/>
    <w:rsid w:val="00CA0FB2"/>
    <w:rsid w:val="00CA2B23"/>
    <w:rsid w:val="00CA30A7"/>
    <w:rsid w:val="00CA71DA"/>
    <w:rsid w:val="00CB0084"/>
    <w:rsid w:val="00CB2A56"/>
    <w:rsid w:val="00CB2B03"/>
    <w:rsid w:val="00CB2D00"/>
    <w:rsid w:val="00CB311F"/>
    <w:rsid w:val="00CB7A94"/>
    <w:rsid w:val="00CC12F4"/>
    <w:rsid w:val="00CC2902"/>
    <w:rsid w:val="00CC3B66"/>
    <w:rsid w:val="00CC3D1C"/>
    <w:rsid w:val="00CD19B9"/>
    <w:rsid w:val="00CD28CA"/>
    <w:rsid w:val="00CD2CAA"/>
    <w:rsid w:val="00CD6EB0"/>
    <w:rsid w:val="00CE00B8"/>
    <w:rsid w:val="00CE15A0"/>
    <w:rsid w:val="00CE2B22"/>
    <w:rsid w:val="00CE4A89"/>
    <w:rsid w:val="00CE4AAE"/>
    <w:rsid w:val="00CE6E02"/>
    <w:rsid w:val="00CE7E4B"/>
    <w:rsid w:val="00CF1E67"/>
    <w:rsid w:val="00CF32F1"/>
    <w:rsid w:val="00CF5FE1"/>
    <w:rsid w:val="00D001D7"/>
    <w:rsid w:val="00D01297"/>
    <w:rsid w:val="00D035A3"/>
    <w:rsid w:val="00D0568E"/>
    <w:rsid w:val="00D0754D"/>
    <w:rsid w:val="00D077E9"/>
    <w:rsid w:val="00D10814"/>
    <w:rsid w:val="00D10EFC"/>
    <w:rsid w:val="00D11275"/>
    <w:rsid w:val="00D1178D"/>
    <w:rsid w:val="00D12CB2"/>
    <w:rsid w:val="00D133FF"/>
    <w:rsid w:val="00D27417"/>
    <w:rsid w:val="00D303BD"/>
    <w:rsid w:val="00D306B7"/>
    <w:rsid w:val="00D3533A"/>
    <w:rsid w:val="00D379FD"/>
    <w:rsid w:val="00D4031E"/>
    <w:rsid w:val="00D416BA"/>
    <w:rsid w:val="00D42148"/>
    <w:rsid w:val="00D43106"/>
    <w:rsid w:val="00D44D49"/>
    <w:rsid w:val="00D45332"/>
    <w:rsid w:val="00D51C60"/>
    <w:rsid w:val="00D52653"/>
    <w:rsid w:val="00D533EA"/>
    <w:rsid w:val="00D54846"/>
    <w:rsid w:val="00D54F9C"/>
    <w:rsid w:val="00D57ED2"/>
    <w:rsid w:val="00D601A5"/>
    <w:rsid w:val="00D60364"/>
    <w:rsid w:val="00D60EC8"/>
    <w:rsid w:val="00D61A65"/>
    <w:rsid w:val="00D7005C"/>
    <w:rsid w:val="00D70812"/>
    <w:rsid w:val="00D72B59"/>
    <w:rsid w:val="00D7319C"/>
    <w:rsid w:val="00D76727"/>
    <w:rsid w:val="00D76AC4"/>
    <w:rsid w:val="00D76B14"/>
    <w:rsid w:val="00D8361A"/>
    <w:rsid w:val="00D86491"/>
    <w:rsid w:val="00D91ECD"/>
    <w:rsid w:val="00D92536"/>
    <w:rsid w:val="00D932D0"/>
    <w:rsid w:val="00D948F6"/>
    <w:rsid w:val="00D97373"/>
    <w:rsid w:val="00D97D97"/>
    <w:rsid w:val="00DA27B3"/>
    <w:rsid w:val="00DA47FE"/>
    <w:rsid w:val="00DA5F5B"/>
    <w:rsid w:val="00DB2804"/>
    <w:rsid w:val="00DB35C6"/>
    <w:rsid w:val="00DB55B1"/>
    <w:rsid w:val="00DC1878"/>
    <w:rsid w:val="00DC24E2"/>
    <w:rsid w:val="00DC51BE"/>
    <w:rsid w:val="00DC6238"/>
    <w:rsid w:val="00DC69D9"/>
    <w:rsid w:val="00DC75EF"/>
    <w:rsid w:val="00DD0577"/>
    <w:rsid w:val="00DD42F4"/>
    <w:rsid w:val="00DD5D53"/>
    <w:rsid w:val="00DD77AA"/>
    <w:rsid w:val="00DD7ABA"/>
    <w:rsid w:val="00DE0938"/>
    <w:rsid w:val="00DE3BC6"/>
    <w:rsid w:val="00DE40EA"/>
    <w:rsid w:val="00DF0B64"/>
    <w:rsid w:val="00DF4769"/>
    <w:rsid w:val="00DF5D19"/>
    <w:rsid w:val="00E0011F"/>
    <w:rsid w:val="00E111CC"/>
    <w:rsid w:val="00E12263"/>
    <w:rsid w:val="00E13B99"/>
    <w:rsid w:val="00E21B8F"/>
    <w:rsid w:val="00E23654"/>
    <w:rsid w:val="00E23F7A"/>
    <w:rsid w:val="00E25BA6"/>
    <w:rsid w:val="00E34767"/>
    <w:rsid w:val="00E34B59"/>
    <w:rsid w:val="00E36D2C"/>
    <w:rsid w:val="00E37BE1"/>
    <w:rsid w:val="00E4082C"/>
    <w:rsid w:val="00E45C7B"/>
    <w:rsid w:val="00E46551"/>
    <w:rsid w:val="00E5115F"/>
    <w:rsid w:val="00E52425"/>
    <w:rsid w:val="00E54542"/>
    <w:rsid w:val="00E5645A"/>
    <w:rsid w:val="00E569EB"/>
    <w:rsid w:val="00E578E1"/>
    <w:rsid w:val="00E66751"/>
    <w:rsid w:val="00E67B04"/>
    <w:rsid w:val="00E74072"/>
    <w:rsid w:val="00E80542"/>
    <w:rsid w:val="00E84A70"/>
    <w:rsid w:val="00E85805"/>
    <w:rsid w:val="00E85DA8"/>
    <w:rsid w:val="00E874DD"/>
    <w:rsid w:val="00E932FC"/>
    <w:rsid w:val="00E94EA4"/>
    <w:rsid w:val="00E95F27"/>
    <w:rsid w:val="00E964C8"/>
    <w:rsid w:val="00EA0078"/>
    <w:rsid w:val="00EA0DFC"/>
    <w:rsid w:val="00EA40A1"/>
    <w:rsid w:val="00EB23C1"/>
    <w:rsid w:val="00EB2CE9"/>
    <w:rsid w:val="00EB3289"/>
    <w:rsid w:val="00EB636A"/>
    <w:rsid w:val="00EC2E18"/>
    <w:rsid w:val="00EC3630"/>
    <w:rsid w:val="00EC5ABA"/>
    <w:rsid w:val="00ED2398"/>
    <w:rsid w:val="00ED39F5"/>
    <w:rsid w:val="00ED5036"/>
    <w:rsid w:val="00ED54A9"/>
    <w:rsid w:val="00ED584C"/>
    <w:rsid w:val="00EE3E12"/>
    <w:rsid w:val="00EF426A"/>
    <w:rsid w:val="00EF66A5"/>
    <w:rsid w:val="00F00EB8"/>
    <w:rsid w:val="00F02AF4"/>
    <w:rsid w:val="00F05DD5"/>
    <w:rsid w:val="00F069EE"/>
    <w:rsid w:val="00F06FA2"/>
    <w:rsid w:val="00F07EB1"/>
    <w:rsid w:val="00F11141"/>
    <w:rsid w:val="00F153D3"/>
    <w:rsid w:val="00F15FB4"/>
    <w:rsid w:val="00F1712A"/>
    <w:rsid w:val="00F17E24"/>
    <w:rsid w:val="00F24350"/>
    <w:rsid w:val="00F25394"/>
    <w:rsid w:val="00F25B66"/>
    <w:rsid w:val="00F26303"/>
    <w:rsid w:val="00F27DB9"/>
    <w:rsid w:val="00F35CF9"/>
    <w:rsid w:val="00F41570"/>
    <w:rsid w:val="00F44EB8"/>
    <w:rsid w:val="00F46477"/>
    <w:rsid w:val="00F4675A"/>
    <w:rsid w:val="00F526B3"/>
    <w:rsid w:val="00F54103"/>
    <w:rsid w:val="00F623CC"/>
    <w:rsid w:val="00F6478D"/>
    <w:rsid w:val="00F668A1"/>
    <w:rsid w:val="00F6746F"/>
    <w:rsid w:val="00F70627"/>
    <w:rsid w:val="00F73D3F"/>
    <w:rsid w:val="00F76607"/>
    <w:rsid w:val="00F82560"/>
    <w:rsid w:val="00F84832"/>
    <w:rsid w:val="00F84C5F"/>
    <w:rsid w:val="00F84FD6"/>
    <w:rsid w:val="00F86271"/>
    <w:rsid w:val="00F94DB0"/>
    <w:rsid w:val="00FA0021"/>
    <w:rsid w:val="00FA31DB"/>
    <w:rsid w:val="00FA46B9"/>
    <w:rsid w:val="00FA4D22"/>
    <w:rsid w:val="00FA5C70"/>
    <w:rsid w:val="00FA7527"/>
    <w:rsid w:val="00FB65F3"/>
    <w:rsid w:val="00FB6C68"/>
    <w:rsid w:val="00FC36D6"/>
    <w:rsid w:val="00FC37E9"/>
    <w:rsid w:val="00FD2F85"/>
    <w:rsid w:val="00FD7A91"/>
    <w:rsid w:val="00FE1099"/>
    <w:rsid w:val="00FE2D43"/>
    <w:rsid w:val="00FE304E"/>
    <w:rsid w:val="00FE38FD"/>
    <w:rsid w:val="00FE517D"/>
    <w:rsid w:val="00FE57E2"/>
    <w:rsid w:val="00FE6C9C"/>
    <w:rsid w:val="00FE7EC8"/>
    <w:rsid w:val="00FF7885"/>
    <w:rsid w:val="00FF7C91"/>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2031834"/>
  <w15:chartTrackingRefBased/>
  <w15:docId w15:val="{59C19DDF-C7D8-4032-90A2-A6F6077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1DA"/>
  </w:style>
  <w:style w:type="paragraph" w:styleId="Footer">
    <w:name w:val="footer"/>
    <w:basedOn w:val="Normal"/>
    <w:link w:val="FooterChar"/>
    <w:uiPriority w:val="99"/>
    <w:unhideWhenUsed/>
    <w:rsid w:val="00CA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1DA"/>
  </w:style>
  <w:style w:type="character" w:styleId="CommentReference">
    <w:name w:val="annotation reference"/>
    <w:basedOn w:val="DefaultParagraphFont"/>
    <w:uiPriority w:val="99"/>
    <w:semiHidden/>
    <w:unhideWhenUsed/>
    <w:rsid w:val="00CD6EB0"/>
    <w:rPr>
      <w:sz w:val="16"/>
      <w:szCs w:val="16"/>
    </w:rPr>
  </w:style>
  <w:style w:type="paragraph" w:styleId="CommentText">
    <w:name w:val="annotation text"/>
    <w:basedOn w:val="Normal"/>
    <w:link w:val="CommentTextChar"/>
    <w:uiPriority w:val="99"/>
    <w:unhideWhenUsed/>
    <w:rsid w:val="00CD6EB0"/>
    <w:pPr>
      <w:spacing w:line="240" w:lineRule="auto"/>
    </w:pPr>
    <w:rPr>
      <w:sz w:val="20"/>
      <w:szCs w:val="20"/>
    </w:rPr>
  </w:style>
  <w:style w:type="character" w:customStyle="1" w:styleId="CommentTextChar">
    <w:name w:val="Comment Text Char"/>
    <w:basedOn w:val="DefaultParagraphFont"/>
    <w:link w:val="CommentText"/>
    <w:uiPriority w:val="99"/>
    <w:rsid w:val="00CD6EB0"/>
    <w:rPr>
      <w:sz w:val="20"/>
      <w:szCs w:val="20"/>
    </w:rPr>
  </w:style>
  <w:style w:type="paragraph" w:styleId="CommentSubject">
    <w:name w:val="annotation subject"/>
    <w:basedOn w:val="CommentText"/>
    <w:next w:val="CommentText"/>
    <w:link w:val="CommentSubjectChar"/>
    <w:uiPriority w:val="99"/>
    <w:semiHidden/>
    <w:unhideWhenUsed/>
    <w:rsid w:val="00CD6EB0"/>
    <w:rPr>
      <w:b/>
      <w:bCs/>
    </w:rPr>
  </w:style>
  <w:style w:type="character" w:customStyle="1" w:styleId="CommentSubjectChar">
    <w:name w:val="Comment Subject Char"/>
    <w:basedOn w:val="CommentTextChar"/>
    <w:link w:val="CommentSubject"/>
    <w:uiPriority w:val="99"/>
    <w:semiHidden/>
    <w:rsid w:val="00CD6EB0"/>
    <w:rPr>
      <w:b/>
      <w:bCs/>
      <w:sz w:val="20"/>
      <w:szCs w:val="20"/>
    </w:rPr>
  </w:style>
  <w:style w:type="paragraph" w:styleId="BalloonText">
    <w:name w:val="Balloon Text"/>
    <w:basedOn w:val="Normal"/>
    <w:link w:val="BalloonTextChar"/>
    <w:uiPriority w:val="99"/>
    <w:semiHidden/>
    <w:unhideWhenUsed/>
    <w:rsid w:val="00CD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B0"/>
    <w:rPr>
      <w:rFonts w:ascii="Segoe UI" w:hAnsi="Segoe UI" w:cs="Segoe UI"/>
      <w:sz w:val="18"/>
      <w:szCs w:val="18"/>
    </w:rPr>
  </w:style>
  <w:style w:type="paragraph" w:styleId="ListParagraph">
    <w:name w:val="List Paragraph"/>
    <w:basedOn w:val="Normal"/>
    <w:uiPriority w:val="34"/>
    <w:qFormat/>
    <w:rsid w:val="00B85229"/>
    <w:pPr>
      <w:ind w:left="720"/>
      <w:contextualSpacing/>
    </w:pPr>
  </w:style>
  <w:style w:type="character" w:styleId="Hyperlink">
    <w:name w:val="Hyperlink"/>
    <w:basedOn w:val="DefaultParagraphFont"/>
    <w:uiPriority w:val="99"/>
    <w:unhideWhenUsed/>
    <w:rsid w:val="009543BE"/>
    <w:rPr>
      <w:color w:val="5F5F5F" w:themeColor="hyperlink"/>
      <w:u w:val="single"/>
    </w:rPr>
  </w:style>
  <w:style w:type="table" w:styleId="TableGrid">
    <w:name w:val="Table Grid"/>
    <w:basedOn w:val="TableNormal"/>
    <w:uiPriority w:val="39"/>
    <w:rsid w:val="0060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FC1"/>
    <w:pPr>
      <w:spacing w:after="0" w:line="240" w:lineRule="auto"/>
    </w:pPr>
  </w:style>
  <w:style w:type="character" w:styleId="Emphasis">
    <w:name w:val="Emphasis"/>
    <w:basedOn w:val="DefaultParagraphFont"/>
    <w:uiPriority w:val="20"/>
    <w:qFormat/>
    <w:rsid w:val="00434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577">
      <w:bodyDiv w:val="1"/>
      <w:marLeft w:val="0"/>
      <w:marRight w:val="0"/>
      <w:marTop w:val="0"/>
      <w:marBottom w:val="0"/>
      <w:divBdr>
        <w:top w:val="none" w:sz="0" w:space="0" w:color="auto"/>
        <w:left w:val="none" w:sz="0" w:space="0" w:color="auto"/>
        <w:bottom w:val="none" w:sz="0" w:space="0" w:color="auto"/>
        <w:right w:val="none" w:sz="0" w:space="0" w:color="auto"/>
      </w:divBdr>
    </w:div>
    <w:div w:id="168445181">
      <w:bodyDiv w:val="1"/>
      <w:marLeft w:val="0"/>
      <w:marRight w:val="0"/>
      <w:marTop w:val="0"/>
      <w:marBottom w:val="0"/>
      <w:divBdr>
        <w:top w:val="none" w:sz="0" w:space="0" w:color="auto"/>
        <w:left w:val="none" w:sz="0" w:space="0" w:color="auto"/>
        <w:bottom w:val="none" w:sz="0" w:space="0" w:color="auto"/>
        <w:right w:val="none" w:sz="0" w:space="0" w:color="auto"/>
      </w:divBdr>
    </w:div>
    <w:div w:id="173149959">
      <w:bodyDiv w:val="1"/>
      <w:marLeft w:val="0"/>
      <w:marRight w:val="0"/>
      <w:marTop w:val="0"/>
      <w:marBottom w:val="0"/>
      <w:divBdr>
        <w:top w:val="none" w:sz="0" w:space="0" w:color="auto"/>
        <w:left w:val="none" w:sz="0" w:space="0" w:color="auto"/>
        <w:bottom w:val="none" w:sz="0" w:space="0" w:color="auto"/>
        <w:right w:val="none" w:sz="0" w:space="0" w:color="auto"/>
      </w:divBdr>
    </w:div>
    <w:div w:id="321663869">
      <w:bodyDiv w:val="1"/>
      <w:marLeft w:val="0"/>
      <w:marRight w:val="0"/>
      <w:marTop w:val="0"/>
      <w:marBottom w:val="0"/>
      <w:divBdr>
        <w:top w:val="none" w:sz="0" w:space="0" w:color="auto"/>
        <w:left w:val="none" w:sz="0" w:space="0" w:color="auto"/>
        <w:bottom w:val="none" w:sz="0" w:space="0" w:color="auto"/>
        <w:right w:val="none" w:sz="0" w:space="0" w:color="auto"/>
      </w:divBdr>
    </w:div>
    <w:div w:id="473525487">
      <w:bodyDiv w:val="1"/>
      <w:marLeft w:val="0"/>
      <w:marRight w:val="0"/>
      <w:marTop w:val="0"/>
      <w:marBottom w:val="0"/>
      <w:divBdr>
        <w:top w:val="none" w:sz="0" w:space="0" w:color="auto"/>
        <w:left w:val="none" w:sz="0" w:space="0" w:color="auto"/>
        <w:bottom w:val="none" w:sz="0" w:space="0" w:color="auto"/>
        <w:right w:val="none" w:sz="0" w:space="0" w:color="auto"/>
      </w:divBdr>
    </w:div>
    <w:div w:id="510725255">
      <w:bodyDiv w:val="1"/>
      <w:marLeft w:val="0"/>
      <w:marRight w:val="0"/>
      <w:marTop w:val="0"/>
      <w:marBottom w:val="0"/>
      <w:divBdr>
        <w:top w:val="none" w:sz="0" w:space="0" w:color="auto"/>
        <w:left w:val="none" w:sz="0" w:space="0" w:color="auto"/>
        <w:bottom w:val="none" w:sz="0" w:space="0" w:color="auto"/>
        <w:right w:val="none" w:sz="0" w:space="0" w:color="auto"/>
      </w:divBdr>
    </w:div>
    <w:div w:id="623772096">
      <w:bodyDiv w:val="1"/>
      <w:marLeft w:val="0"/>
      <w:marRight w:val="0"/>
      <w:marTop w:val="0"/>
      <w:marBottom w:val="0"/>
      <w:divBdr>
        <w:top w:val="none" w:sz="0" w:space="0" w:color="auto"/>
        <w:left w:val="none" w:sz="0" w:space="0" w:color="auto"/>
        <w:bottom w:val="none" w:sz="0" w:space="0" w:color="auto"/>
        <w:right w:val="none" w:sz="0" w:space="0" w:color="auto"/>
      </w:divBdr>
    </w:div>
    <w:div w:id="693965866">
      <w:bodyDiv w:val="1"/>
      <w:marLeft w:val="0"/>
      <w:marRight w:val="0"/>
      <w:marTop w:val="0"/>
      <w:marBottom w:val="0"/>
      <w:divBdr>
        <w:top w:val="none" w:sz="0" w:space="0" w:color="auto"/>
        <w:left w:val="none" w:sz="0" w:space="0" w:color="auto"/>
        <w:bottom w:val="none" w:sz="0" w:space="0" w:color="auto"/>
        <w:right w:val="none" w:sz="0" w:space="0" w:color="auto"/>
      </w:divBdr>
    </w:div>
    <w:div w:id="771054919">
      <w:bodyDiv w:val="1"/>
      <w:marLeft w:val="0"/>
      <w:marRight w:val="0"/>
      <w:marTop w:val="0"/>
      <w:marBottom w:val="0"/>
      <w:divBdr>
        <w:top w:val="none" w:sz="0" w:space="0" w:color="auto"/>
        <w:left w:val="none" w:sz="0" w:space="0" w:color="auto"/>
        <w:bottom w:val="none" w:sz="0" w:space="0" w:color="auto"/>
        <w:right w:val="none" w:sz="0" w:space="0" w:color="auto"/>
      </w:divBdr>
    </w:div>
    <w:div w:id="891502171">
      <w:bodyDiv w:val="1"/>
      <w:marLeft w:val="0"/>
      <w:marRight w:val="0"/>
      <w:marTop w:val="0"/>
      <w:marBottom w:val="0"/>
      <w:divBdr>
        <w:top w:val="none" w:sz="0" w:space="0" w:color="auto"/>
        <w:left w:val="none" w:sz="0" w:space="0" w:color="auto"/>
        <w:bottom w:val="none" w:sz="0" w:space="0" w:color="auto"/>
        <w:right w:val="none" w:sz="0" w:space="0" w:color="auto"/>
      </w:divBdr>
    </w:div>
    <w:div w:id="961426604">
      <w:bodyDiv w:val="1"/>
      <w:marLeft w:val="0"/>
      <w:marRight w:val="0"/>
      <w:marTop w:val="0"/>
      <w:marBottom w:val="0"/>
      <w:divBdr>
        <w:top w:val="none" w:sz="0" w:space="0" w:color="auto"/>
        <w:left w:val="none" w:sz="0" w:space="0" w:color="auto"/>
        <w:bottom w:val="none" w:sz="0" w:space="0" w:color="auto"/>
        <w:right w:val="none" w:sz="0" w:space="0" w:color="auto"/>
      </w:divBdr>
    </w:div>
    <w:div w:id="1044057905">
      <w:bodyDiv w:val="1"/>
      <w:marLeft w:val="0"/>
      <w:marRight w:val="0"/>
      <w:marTop w:val="0"/>
      <w:marBottom w:val="0"/>
      <w:divBdr>
        <w:top w:val="none" w:sz="0" w:space="0" w:color="auto"/>
        <w:left w:val="none" w:sz="0" w:space="0" w:color="auto"/>
        <w:bottom w:val="none" w:sz="0" w:space="0" w:color="auto"/>
        <w:right w:val="none" w:sz="0" w:space="0" w:color="auto"/>
      </w:divBdr>
    </w:div>
    <w:div w:id="1272277203">
      <w:bodyDiv w:val="1"/>
      <w:marLeft w:val="0"/>
      <w:marRight w:val="0"/>
      <w:marTop w:val="0"/>
      <w:marBottom w:val="0"/>
      <w:divBdr>
        <w:top w:val="none" w:sz="0" w:space="0" w:color="auto"/>
        <w:left w:val="none" w:sz="0" w:space="0" w:color="auto"/>
        <w:bottom w:val="none" w:sz="0" w:space="0" w:color="auto"/>
        <w:right w:val="none" w:sz="0" w:space="0" w:color="auto"/>
      </w:divBdr>
    </w:div>
    <w:div w:id="1391538540">
      <w:bodyDiv w:val="1"/>
      <w:marLeft w:val="0"/>
      <w:marRight w:val="0"/>
      <w:marTop w:val="0"/>
      <w:marBottom w:val="0"/>
      <w:divBdr>
        <w:top w:val="none" w:sz="0" w:space="0" w:color="auto"/>
        <w:left w:val="none" w:sz="0" w:space="0" w:color="auto"/>
        <w:bottom w:val="none" w:sz="0" w:space="0" w:color="auto"/>
        <w:right w:val="none" w:sz="0" w:space="0" w:color="auto"/>
      </w:divBdr>
    </w:div>
    <w:div w:id="17893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F7FC-BCC5-4095-A4FD-8AE2BD37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3</cp:revision>
  <cp:lastPrinted>2023-04-19T13:16:00Z</cp:lastPrinted>
  <dcterms:created xsi:type="dcterms:W3CDTF">2023-05-02T08:04:00Z</dcterms:created>
  <dcterms:modified xsi:type="dcterms:W3CDTF">2023-05-02T08:09:00Z</dcterms:modified>
</cp:coreProperties>
</file>